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A8B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b/>
          <w:bCs/>
          <w:sz w:val="44"/>
          <w:szCs w:val="44"/>
          <w:lang w:val="en-US" w:eastAsia="zh-CN"/>
        </w:rPr>
      </w:pPr>
    </w:p>
    <w:p w14:paraId="6A5E285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南充市固体废弃物资源化利用和处置项目</w:t>
      </w:r>
    </w:p>
    <w:p w14:paraId="7FC4BA2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44"/>
          <w:szCs w:val="44"/>
          <w:lang w:val="en-US" w:eastAsia="zh-CN"/>
        </w:rPr>
      </w:pPr>
    </w:p>
    <w:p w14:paraId="53AC10F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44"/>
          <w:szCs w:val="44"/>
          <w:lang w:val="en-US" w:eastAsia="zh-CN"/>
        </w:rPr>
      </w:pPr>
    </w:p>
    <w:p w14:paraId="180B9C8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44"/>
          <w:szCs w:val="44"/>
          <w:lang w:val="en-US" w:eastAsia="zh-CN"/>
        </w:rPr>
      </w:pPr>
    </w:p>
    <w:p w14:paraId="4DFB759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（信息披露）</w:t>
      </w:r>
    </w:p>
    <w:p w14:paraId="784E8639">
      <w:pPr>
        <w:bidi w:val="0"/>
        <w:rPr>
          <w:rFonts w:hint="eastAsia" w:ascii="黑体" w:hAnsi="黑体" w:eastAsia="黑体" w:cs="黑体"/>
          <w:lang w:val="en-US" w:eastAsia="zh-CN"/>
        </w:rPr>
      </w:pPr>
    </w:p>
    <w:p w14:paraId="3223B9DB">
      <w:pPr>
        <w:bidi w:val="0"/>
        <w:rPr>
          <w:rFonts w:hint="eastAsia" w:ascii="黑体" w:hAnsi="黑体" w:eastAsia="黑体" w:cs="黑体"/>
          <w:lang w:val="en-US" w:eastAsia="zh-CN"/>
        </w:rPr>
      </w:pPr>
    </w:p>
    <w:p w14:paraId="276C48A6">
      <w:pPr>
        <w:bidi w:val="0"/>
        <w:rPr>
          <w:rFonts w:hint="eastAsia" w:ascii="黑体" w:hAnsi="黑体" w:eastAsia="黑体" w:cs="黑体"/>
          <w:lang w:val="en-US" w:eastAsia="zh-CN"/>
        </w:rPr>
      </w:pPr>
    </w:p>
    <w:p w14:paraId="51377F1C">
      <w:pPr>
        <w:bidi w:val="0"/>
        <w:rPr>
          <w:rFonts w:hint="eastAsia" w:ascii="黑体" w:hAnsi="黑体" w:eastAsia="黑体" w:cs="黑体"/>
          <w:lang w:val="en-US" w:eastAsia="zh-CN"/>
        </w:rPr>
      </w:pPr>
    </w:p>
    <w:p w14:paraId="2644CA7F">
      <w:pPr>
        <w:bidi w:val="0"/>
        <w:rPr>
          <w:rFonts w:hint="eastAsia" w:ascii="黑体" w:hAnsi="黑体" w:eastAsia="黑体" w:cs="黑体"/>
          <w:lang w:val="en-US" w:eastAsia="zh-CN"/>
        </w:rPr>
      </w:pPr>
      <w:bookmarkStart w:id="11" w:name="_GoBack"/>
      <w:bookmarkEnd w:id="11"/>
    </w:p>
    <w:p w14:paraId="4187AB6E">
      <w:pPr>
        <w:bidi w:val="0"/>
        <w:rPr>
          <w:rFonts w:hint="eastAsia" w:ascii="黑体" w:hAnsi="黑体" w:eastAsia="黑体" w:cs="黑体"/>
          <w:lang w:val="en-US" w:eastAsia="zh-CN"/>
        </w:rPr>
      </w:pPr>
    </w:p>
    <w:p w14:paraId="0DCD3136">
      <w:pPr>
        <w:bidi w:val="0"/>
        <w:rPr>
          <w:rFonts w:hint="eastAsia" w:ascii="黑体" w:hAnsi="黑体" w:eastAsia="黑体" w:cs="黑体"/>
          <w:lang w:val="en-US" w:eastAsia="zh-CN"/>
        </w:rPr>
      </w:pPr>
    </w:p>
    <w:p w14:paraId="26A89D2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发改部门：南充市顺庆区发展和改革局</w:t>
      </w:r>
    </w:p>
    <w:p w14:paraId="166CB061">
      <w:pPr>
        <w:bidi w:val="0"/>
        <w:rPr>
          <w:rFonts w:hint="eastAsia" w:ascii="黑体" w:hAnsi="黑体" w:eastAsia="黑体" w:cs="黑体"/>
          <w:lang w:val="en-US" w:eastAsia="zh-CN"/>
        </w:rPr>
      </w:pPr>
    </w:p>
    <w:p w14:paraId="48FD317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财政部门：南充市顺庆区财政局</w:t>
      </w:r>
    </w:p>
    <w:p w14:paraId="4C6BF24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32"/>
          <w:szCs w:val="32"/>
          <w:lang w:val="en-US" w:eastAsia="zh-CN"/>
        </w:rPr>
      </w:pPr>
    </w:p>
    <w:p w14:paraId="21055D0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主管部门：</w:t>
      </w:r>
      <w:r>
        <w:rPr>
          <w:rFonts w:hint="eastAsia" w:ascii="黑体" w:hAnsi="黑体" w:eastAsia="黑体" w:cs="黑体"/>
          <w:sz w:val="32"/>
          <w:szCs w:val="32"/>
          <w:highlight w:val="none"/>
          <w:lang w:val="en-US" w:eastAsia="zh-CN"/>
        </w:rPr>
        <w:t>南充市顺庆区综合行政执法局</w:t>
      </w:r>
    </w:p>
    <w:p w14:paraId="00CF69E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32"/>
          <w:szCs w:val="32"/>
          <w:lang w:val="en-US" w:eastAsia="zh-CN"/>
        </w:rPr>
      </w:pPr>
    </w:p>
    <w:p w14:paraId="27905C4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业主单位：</w:t>
      </w:r>
      <w:r>
        <w:rPr>
          <w:rFonts w:hint="eastAsia" w:ascii="黑体" w:hAnsi="黑体" w:eastAsia="黑体" w:cs="黑体"/>
          <w:sz w:val="32"/>
          <w:szCs w:val="32"/>
          <w:highlight w:val="none"/>
          <w:lang w:val="en-US" w:eastAsia="zh-CN"/>
        </w:rPr>
        <w:t>南充尚泰再生科技有限公司</w:t>
      </w:r>
    </w:p>
    <w:p w14:paraId="3156E079">
      <w:pPr>
        <w:bidi w:val="0"/>
        <w:rPr>
          <w:rFonts w:hint="eastAsia" w:ascii="黑体" w:hAnsi="黑体" w:eastAsia="黑体" w:cs="黑体"/>
          <w:b w:val="0"/>
          <w:bCs w:val="0"/>
          <w:sz w:val="32"/>
          <w:szCs w:val="32"/>
          <w:lang w:val="en-US" w:eastAsia="zh-CN"/>
        </w:rPr>
      </w:pPr>
    </w:p>
    <w:p w14:paraId="7C9412DF">
      <w:pPr>
        <w:spacing w:line="600" w:lineRule="exact"/>
        <w:jc w:val="center"/>
        <w:outlineLvl w:val="0"/>
        <w:rPr>
          <w:rStyle w:val="19"/>
          <w:rFonts w:hint="eastAsia" w:ascii="仿宋" w:hAnsi="仿宋" w:eastAsia="仿宋" w:cs="Times New Roman"/>
          <w:b/>
          <w:bCs/>
          <w:sz w:val="44"/>
          <w:szCs w:val="44"/>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416" w:bottom="1440" w:left="1800" w:header="851" w:footer="992" w:gutter="0"/>
          <w:pgNumType w:start="1"/>
          <w:cols w:space="425" w:num="1"/>
          <w:docGrid w:type="lines" w:linePitch="312" w:charSpace="0"/>
        </w:sectPr>
      </w:pPr>
      <w:r>
        <w:rPr>
          <w:rFonts w:hint="eastAsia" w:ascii="黑体" w:hAnsi="黑体" w:eastAsia="黑体" w:cs="黑体"/>
          <w:b w:val="0"/>
          <w:bCs w:val="0"/>
          <w:sz w:val="32"/>
          <w:szCs w:val="32"/>
          <w:lang w:val="en-US" w:eastAsia="zh-CN"/>
        </w:rPr>
        <w:t>二〇二六年八月</w:t>
      </w:r>
    </w:p>
    <w:p w14:paraId="283F04F5">
      <w:pPr>
        <w:spacing w:line="600" w:lineRule="exact"/>
        <w:jc w:val="center"/>
        <w:outlineLvl w:val="0"/>
        <w:rPr>
          <w:rStyle w:val="19"/>
          <w:rFonts w:hint="eastAsia" w:ascii="仿宋" w:hAnsi="仿宋" w:eastAsia="仿宋" w:cs="Times New Roman"/>
          <w:b/>
          <w:bCs/>
          <w:sz w:val="44"/>
          <w:szCs w:val="44"/>
          <w:lang w:eastAsia="zh-CN"/>
        </w:rPr>
      </w:pPr>
      <w:r>
        <w:rPr>
          <w:rStyle w:val="19"/>
          <w:rFonts w:hint="eastAsia" w:ascii="仿宋" w:hAnsi="仿宋" w:eastAsia="仿宋" w:cs="Times New Roman"/>
          <w:b/>
          <w:bCs/>
          <w:sz w:val="44"/>
          <w:szCs w:val="44"/>
          <w:lang w:eastAsia="zh-CN"/>
        </w:rPr>
        <w:t>南充市固体废弃物资源化利用和处置</w:t>
      </w:r>
    </w:p>
    <w:p w14:paraId="40E179A0">
      <w:pPr>
        <w:spacing w:line="600" w:lineRule="exact"/>
        <w:jc w:val="center"/>
        <w:outlineLvl w:val="0"/>
        <w:rPr>
          <w:rStyle w:val="19"/>
          <w:rFonts w:ascii="仿宋" w:hAnsi="仿宋" w:eastAsia="仿宋" w:cs="Times New Roman"/>
          <w:b/>
          <w:bCs/>
          <w:sz w:val="44"/>
          <w:szCs w:val="44"/>
        </w:rPr>
      </w:pPr>
      <w:r>
        <w:rPr>
          <w:rStyle w:val="19"/>
          <w:rFonts w:hint="eastAsia" w:ascii="仿宋" w:hAnsi="仿宋" w:eastAsia="仿宋" w:cs="Times New Roman"/>
          <w:b/>
          <w:bCs/>
          <w:sz w:val="44"/>
          <w:szCs w:val="44"/>
          <w:lang w:eastAsia="zh-CN"/>
        </w:rPr>
        <w:t>项目</w:t>
      </w:r>
      <w:r>
        <w:rPr>
          <w:rStyle w:val="19"/>
          <w:rFonts w:ascii="仿宋" w:hAnsi="仿宋" w:eastAsia="仿宋" w:cs="Times New Roman"/>
          <w:b/>
          <w:bCs/>
          <w:sz w:val="44"/>
          <w:szCs w:val="44"/>
        </w:rPr>
        <w:t>情况</w:t>
      </w:r>
    </w:p>
    <w:p w14:paraId="647F1E8D"/>
    <w:p w14:paraId="4527827A">
      <w:pPr>
        <w:spacing w:line="580" w:lineRule="exact"/>
        <w:ind w:firstLine="141" w:firstLineChars="44"/>
        <w:outlineLvl w:val="1"/>
        <w:rPr>
          <w:rStyle w:val="19"/>
          <w:rFonts w:ascii="仿宋" w:hAnsi="仿宋" w:eastAsia="仿宋"/>
          <w:b/>
          <w:sz w:val="32"/>
          <w:szCs w:val="32"/>
        </w:rPr>
      </w:pPr>
      <w:r>
        <w:rPr>
          <w:rStyle w:val="19"/>
          <w:rFonts w:ascii="仿宋" w:hAnsi="仿宋" w:eastAsia="仿宋"/>
          <w:b/>
          <w:sz w:val="32"/>
          <w:szCs w:val="32"/>
        </w:rPr>
        <w:t>一、项目基本情况</w:t>
      </w:r>
    </w:p>
    <w:p w14:paraId="11CDDB2F">
      <w:pPr>
        <w:pStyle w:val="2"/>
        <w:spacing w:line="580" w:lineRule="exact"/>
        <w:rPr>
          <w:rFonts w:ascii="仿宋" w:hAnsi="仿宋" w:eastAsia="仿宋"/>
        </w:rPr>
      </w:pPr>
      <w:bookmarkStart w:id="0" w:name="_Toc174523922"/>
      <w:r>
        <w:rPr>
          <w:rFonts w:hint="eastAsia" w:ascii="仿宋" w:hAnsi="仿宋" w:eastAsia="仿宋"/>
        </w:rPr>
        <w:t>（一）市县及行业专项规划概况</w:t>
      </w:r>
      <w:bookmarkEnd w:id="0"/>
      <w:bookmarkStart w:id="1" w:name="1.广元市“十三五”规划纲要"/>
      <w:bookmarkEnd w:id="1"/>
      <w:bookmarkStart w:id="2" w:name="_bookmark3"/>
      <w:bookmarkEnd w:id="2"/>
    </w:p>
    <w:p w14:paraId="372A33F3">
      <w:pPr>
        <w:spacing w:line="580" w:lineRule="exact"/>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四川省城市建筑垃圾处置及资源化利用行动方案》提出：以习近平新时代中国特色社会主义思想为指导，全面贯彻落实习近平总书记来川视察重要指示精神，认真落实省委十二届二次、三次、四次、五次全会决策部署，坚持生态优先、绿色发展，以建筑垃圾减量化、资源化、无害化、产业化为导向，加快完善建筑垃圾全过程监管体系，全面提升全省城市建筑垃圾规范化管理和资源化利用水平，推动城市人居环境高质量发展。到2024年底，各市（州）完成制定或修订本地区城市建筑垃圾污染环境防治工作规划，城市建筑垃圾全过程管理制度更加健全，产生、运输、处置核准进一步规范。到2025年底，全省基本建立城市建筑垃圾治理体系，全过程管理制度有效落实，地级及以上城市建筑垃圾资源化处理能力满足实际需求，县级城市具有规范的建筑垃圾处置场所，城市建筑垃圾综合利用率达到50%以上。</w:t>
      </w:r>
    </w:p>
    <w:p w14:paraId="5CCD2E67">
      <w:pPr>
        <w:spacing w:line="580" w:lineRule="exact"/>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南充市“无废城市”建设实施方案》提出：以习近平新时代中国特色社会主义思想为指导，深入贯彻党的二十大及二十届历次全会精神，贯彻落实习近平总书记对四川工作系列重要指示精神，牢固树立和践行“绿水青山就是金山银山”理念。按照党中央、国务院“无废城市”建设总体部署和成渝地区双城经济圈“无废城市”共建目标，聚焦南充市委、市政府“1558”工作思路，紧密围绕减污降碳协同增效，统筹城市发展与固体废物管理，推进固体废物减量化、资源化、无害化，强化制度、技术、市场、监管等保障体系建设，全面提升城市固体废物管理水平，为深入打好污染防治攻坚战、建设“美丽南充”做出贡献。</w:t>
      </w:r>
    </w:p>
    <w:p w14:paraId="5F3D385E">
      <w:pPr>
        <w:spacing w:line="580" w:lineRule="exact"/>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强化建筑垃圾收集分类管理，完善建筑垃圾收集体系，综合考虑建筑垃圾产生区域、产生量、运输距离等因素，合理规划布局建筑垃圾的收集、转运、临时处理、消纳处置、资源化利用设施。鼓励建筑垃圾再生骨料及制品在建筑工程和道路工程中应用。到2028年，南充市一般工业固体废物产生强度进一步降低，生活垃圾、危险废物等利用处置能力显著提升，建筑垃圾利用处置短板有效补齐，形成一批典型示范项目，创建一批“无废细胞”工程，健全“无废城市”制度体系、技术体系、市场体系和监管体系，完成各项“无废城市”建设任务，基本实现固体废物治理体系和治理能力现代化。</w:t>
      </w:r>
    </w:p>
    <w:p w14:paraId="78B961B0">
      <w:pPr>
        <w:pStyle w:val="2"/>
        <w:spacing w:line="580" w:lineRule="exact"/>
        <w:rPr>
          <w:rFonts w:ascii="仿宋" w:hAnsi="仿宋" w:eastAsia="仿宋"/>
        </w:rPr>
      </w:pPr>
      <w:r>
        <w:rPr>
          <w:rFonts w:ascii="仿宋" w:hAnsi="仿宋" w:eastAsia="仿宋"/>
        </w:rPr>
        <w:t>（二）项目情况</w:t>
      </w:r>
    </w:p>
    <w:p w14:paraId="6A998B99">
      <w:pPr>
        <w:pStyle w:val="3"/>
        <w:spacing w:line="580" w:lineRule="exact"/>
        <w:jc w:val="both"/>
        <w:rPr>
          <w:caps/>
          <w:lang w:val="en-US"/>
        </w:rPr>
      </w:pPr>
      <w:bookmarkStart w:id="3" w:name="_Toc174523928"/>
      <w:r>
        <w:rPr>
          <w:rFonts w:hint="eastAsia"/>
          <w:caps/>
          <w:lang w:val="en-US"/>
        </w:rPr>
        <w:t>1.参与主体</w:t>
      </w:r>
      <w:bookmarkEnd w:id="3"/>
    </w:p>
    <w:p w14:paraId="14785967">
      <w:pPr>
        <w:spacing w:line="580" w:lineRule="exact"/>
        <w:ind w:firstLine="640" w:firstLineChars="200"/>
        <w:rPr>
          <w:rFonts w:hint="default" w:ascii="仿宋" w:hAnsi="仿宋" w:eastAsia="仿宋"/>
          <w:sz w:val="32"/>
          <w:szCs w:val="32"/>
          <w:lang w:val="en-US" w:eastAsia="zh-CN"/>
        </w:rPr>
      </w:pPr>
      <w:r>
        <w:rPr>
          <w:rFonts w:hint="eastAsia" w:ascii="仿宋" w:hAnsi="仿宋" w:eastAsia="仿宋" w:cs="仿宋_GB2312"/>
          <w:sz w:val="32"/>
          <w:szCs w:val="32"/>
        </w:rPr>
        <w:t>主管部门：</w:t>
      </w:r>
      <w:r>
        <w:rPr>
          <w:rFonts w:hint="eastAsia" w:ascii="仿宋" w:hAnsi="仿宋" w:eastAsia="仿宋"/>
          <w:sz w:val="32"/>
          <w:szCs w:val="32"/>
          <w:lang w:val="en-US" w:eastAsia="zh-CN"/>
        </w:rPr>
        <w:t>南充市顺庆区综合行政执法局</w:t>
      </w:r>
    </w:p>
    <w:p w14:paraId="3039ADA5">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项目业主（项目单位）：</w:t>
      </w:r>
      <w:r>
        <w:rPr>
          <w:rFonts w:hint="eastAsia" w:ascii="仿宋" w:hAnsi="仿宋" w:eastAsia="仿宋" w:cs="仿宋_GB2312"/>
          <w:sz w:val="32"/>
          <w:szCs w:val="32"/>
          <w:lang w:val="en-US" w:eastAsia="zh-CN"/>
        </w:rPr>
        <w:t>南充尚泰再生科技有限公司</w:t>
      </w:r>
    </w:p>
    <w:p w14:paraId="1F26D2B5">
      <w:pPr>
        <w:pStyle w:val="3"/>
        <w:spacing w:line="580" w:lineRule="exact"/>
        <w:jc w:val="both"/>
        <w:rPr>
          <w:caps/>
          <w:lang w:val="en-US"/>
        </w:rPr>
      </w:pPr>
      <w:bookmarkStart w:id="4" w:name="_Toc174523929"/>
      <w:r>
        <w:rPr>
          <w:rFonts w:hint="eastAsia"/>
          <w:caps/>
          <w:lang w:val="en-US"/>
        </w:rPr>
        <w:t>2.项目概况</w:t>
      </w:r>
      <w:bookmarkEnd w:id="4"/>
    </w:p>
    <w:p w14:paraId="6E11DB23">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项目名称：</w:t>
      </w:r>
      <w:r>
        <w:rPr>
          <w:rFonts w:hint="eastAsia" w:ascii="仿宋" w:hAnsi="仿宋" w:eastAsia="仿宋" w:cs="仿宋_GB2312"/>
          <w:sz w:val="32"/>
          <w:szCs w:val="32"/>
          <w:lang w:val="en-US" w:eastAsia="zh-CN"/>
        </w:rPr>
        <w:t>南充市固体废弃物资源化利用和处置项目</w:t>
      </w:r>
      <w:r>
        <w:rPr>
          <w:rFonts w:hint="eastAsia" w:ascii="仿宋" w:hAnsi="仿宋" w:eastAsia="仿宋" w:cs="仿宋_GB2312"/>
          <w:sz w:val="32"/>
          <w:szCs w:val="32"/>
        </w:rPr>
        <w:t>。</w:t>
      </w:r>
    </w:p>
    <w:p w14:paraId="329C99D7">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项目所属领域：</w:t>
      </w:r>
      <w:r>
        <w:rPr>
          <w:rFonts w:hint="eastAsia" w:ascii="仿宋" w:hAnsi="仿宋" w:eastAsia="仿宋" w:cs="仿宋_GB2312"/>
          <w:sz w:val="32"/>
          <w:szCs w:val="32"/>
          <w:lang w:val="en-US" w:eastAsia="zh-CN"/>
        </w:rPr>
        <w:t>生态环保-城镇垃圾收集转运处理</w:t>
      </w:r>
      <w:r>
        <w:rPr>
          <w:rFonts w:hint="eastAsia" w:ascii="仿宋" w:hAnsi="仿宋" w:eastAsia="仿宋" w:cs="仿宋_GB2312"/>
          <w:sz w:val="32"/>
          <w:szCs w:val="32"/>
        </w:rPr>
        <w:t>。</w:t>
      </w:r>
    </w:p>
    <w:p w14:paraId="7050EF7B">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项目建设地址</w:t>
      </w:r>
      <w:bookmarkStart w:id="5" w:name="_Hlk129032667"/>
      <w:r>
        <w:rPr>
          <w:rFonts w:hint="eastAsia" w:ascii="仿宋" w:hAnsi="仿宋" w:eastAsia="仿宋" w:cs="仿宋_GB2312"/>
          <w:sz w:val="32"/>
          <w:szCs w:val="32"/>
        </w:rPr>
        <w:t>：</w:t>
      </w:r>
      <w:bookmarkEnd w:id="5"/>
      <w:r>
        <w:rPr>
          <w:rFonts w:hint="eastAsia" w:ascii="仿宋" w:hAnsi="仿宋" w:eastAsia="仿宋" w:cs="仿宋_GB2312"/>
          <w:sz w:val="32"/>
          <w:szCs w:val="32"/>
          <w:lang w:eastAsia="zh-CN"/>
        </w:rPr>
        <w:t>南充高新技术产业园</w:t>
      </w:r>
      <w:r>
        <w:rPr>
          <w:rFonts w:hint="eastAsia" w:ascii="仿宋" w:hAnsi="仿宋" w:eastAsia="仿宋" w:cs="仿宋_GB2312"/>
          <w:sz w:val="32"/>
          <w:szCs w:val="32"/>
        </w:rPr>
        <w:t xml:space="preserve">。 </w:t>
      </w:r>
    </w:p>
    <w:p w14:paraId="040D446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rPr>
        <w:t>项目建设内容</w:t>
      </w:r>
      <w:r>
        <w:rPr>
          <w:rFonts w:hint="eastAsia" w:ascii="仿宋" w:hAnsi="仿宋" w:eastAsia="仿宋" w:cs="仿宋_GB2312"/>
          <w:sz w:val="32"/>
          <w:szCs w:val="32"/>
          <w:lang w:val="en-US" w:eastAsia="zh-CN"/>
        </w:rPr>
        <w:t>：项目位于南充市顺庆区，占地约100亩，主要建设内容包括固体垃圾拆解及生产车间约8000㎡及新建年生产能力约50万-80万吨拆解及生产线一条，固体垃圾堆场约20000㎡、产品仓库约3000㎡，生产商砼、水泥制品，沥青混凝土、碎石及花土等，建污水处理设施及道路等配套设施。</w:t>
      </w:r>
    </w:p>
    <w:p w14:paraId="34DE8192">
      <w:pPr>
        <w:pStyle w:val="3"/>
        <w:spacing w:line="580" w:lineRule="exact"/>
        <w:jc w:val="both"/>
        <w:rPr>
          <w:lang w:val="en-US"/>
        </w:rPr>
      </w:pPr>
      <w:bookmarkStart w:id="6" w:name="_Toc174523932"/>
      <w:r>
        <w:rPr>
          <w:lang w:val="en-US"/>
        </w:rPr>
        <w:t>3</w:t>
      </w:r>
      <w:r>
        <w:rPr>
          <w:rFonts w:hint="eastAsia"/>
          <w:lang w:val="en-US"/>
        </w:rPr>
        <w:t>.项目公益性论证</w:t>
      </w:r>
      <w:bookmarkEnd w:id="6"/>
    </w:p>
    <w:p w14:paraId="01ABD28C">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按照《财政部关于试点发展项目收益与融资自求平衡的地方政府专项债券品种的通知》（财预〔2017〕89号）文件有关的要求，结合本地区实际情况，优先选择党中央、国务院和省委、省政府确定的重大战略领域及重点项目发行项目收益专项债券，重点考虑在重大区域发展以及乡村振兴、脱贫攻坚、生态环保、水电气热等公用事业、公立医院、公立学校、交通、水利、文化旅游、工业园区、市政基础设施等领域选择符合条件的新建、在建和改建项目。</w:t>
      </w:r>
    </w:p>
    <w:p w14:paraId="3116BB5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本项目符合《国家发展改革委 财政部关于印发地方政府专项债券投向领域有关规定的通知》（发改投资〔2023〕1232号）文件支持的“城镇污水垃圾收集处理”。</w:t>
      </w:r>
    </w:p>
    <w:p w14:paraId="3769D89B">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随着南充市顺庆区城镇化的不断推进，人民生活水平的不断提高，生活垃圾处理压力越来越大。由于垃圾的处理问题，使得城镇环境亟需改善，也在一定程度上制约了区域的发展。南充市顺庆区政府为改善这一状况，从树立和落实科学发展观的高度，提出南充市废弃物资源化利用和处置建设项目，减少污染。</w:t>
      </w:r>
    </w:p>
    <w:p w14:paraId="05456122">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随着本项目的实施将进一步为完善城市垃圾处理设施，为南充市顺庆区的发展奠定坚实的基础。本项目建成后，将实现城镇生活污水垃圾处理设施全覆盖和稳定运行。项目的实施，可减少污染物排放量，减轻区域内河流的污染程度，改善城市地表水体质量，利于提高城市总体环境质量，使人民生活环境质量逐步提高。项目的实施，有利于改善城市投资环境，促进城市对外招商引资、促进地区的发展，有利于保持经济持续稳定的增长。</w:t>
      </w:r>
    </w:p>
    <w:p w14:paraId="21A7A6BD">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本项目为生态环保-城镇垃圾收集转运处理领域项目，符合（川财金〔2018〕93号）“重点支持长江经济带发展、‘一带一路’建设、自然灾害防治能力若干重点工程、易地扶贫搬迁、贫困地区特别是‘三区三州’等深度贫困地区基础设施、污染防治、棚户区改造，重大铁路项目、高速公路、重大水利工程、乡村振兴、生态环保、城镇基础设施等方面公益性基础设施建设”的领域要求。</w:t>
      </w:r>
    </w:p>
    <w:p w14:paraId="04342802">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本项目满足《财政部 发展改革委 人民银行银监会关于贯彻国务院关于加强地方政府融资平台公司管理有关问题的通知相关事项的通知》（财预〔2010〕412号）规定，“公益性项目”是指为社会公共利益服务、不以盈利为目的，且不能或不宜通过市场化方式运作的政府投资项目，如市政道路、公共交通等基础设施项目，以及公共卫生、基础科研、义务教育、保障性安居工程等基本建设项目。</w:t>
      </w:r>
    </w:p>
    <w:p w14:paraId="6520D4C6">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lang w:val="en-US" w:eastAsia="zh-CN"/>
        </w:rPr>
        <w:t>所以本项目具有公益性。</w:t>
      </w:r>
    </w:p>
    <w:p w14:paraId="0EE0F2D4">
      <w:pPr>
        <w:spacing w:line="580" w:lineRule="exact"/>
        <w:ind w:firstLine="640" w:firstLineChars="200"/>
        <w:rPr>
          <w:rFonts w:ascii="仿宋" w:hAnsi="仿宋" w:eastAsia="仿宋" w:cs="仿宋_GB2312"/>
          <w:sz w:val="32"/>
          <w:szCs w:val="32"/>
        </w:rPr>
        <w:sectPr>
          <w:pgSz w:w="11906" w:h="16838"/>
          <w:pgMar w:top="1440" w:right="1416" w:bottom="1440" w:left="1800" w:header="851" w:footer="992" w:gutter="0"/>
          <w:pgNumType w:start="1"/>
          <w:cols w:space="425" w:num="1"/>
          <w:docGrid w:type="lines" w:linePitch="312" w:charSpace="0"/>
        </w:sectPr>
      </w:pPr>
    </w:p>
    <w:p w14:paraId="5326E55C">
      <w:pPr>
        <w:numPr>
          <w:ilvl w:val="0"/>
          <w:numId w:val="1"/>
        </w:numPr>
        <w:spacing w:line="580" w:lineRule="exact"/>
        <w:outlineLvl w:val="0"/>
        <w:rPr>
          <w:rStyle w:val="19"/>
          <w:rFonts w:ascii="仿宋" w:hAnsi="仿宋" w:eastAsia="仿宋"/>
          <w:b/>
          <w:bCs/>
          <w:sz w:val="32"/>
          <w:szCs w:val="32"/>
        </w:rPr>
      </w:pPr>
      <w:r>
        <w:rPr>
          <w:rStyle w:val="19"/>
          <w:rFonts w:ascii="仿宋" w:hAnsi="仿宋" w:eastAsia="仿宋"/>
          <w:b/>
          <w:bCs/>
          <w:sz w:val="32"/>
          <w:szCs w:val="32"/>
        </w:rPr>
        <w:t>经济社会效益分析</w:t>
      </w:r>
    </w:p>
    <w:p w14:paraId="4AC761C6">
      <w:pPr>
        <w:pStyle w:val="2"/>
        <w:spacing w:line="580" w:lineRule="exact"/>
        <w:rPr>
          <w:rFonts w:ascii="仿宋" w:hAnsi="仿宋" w:eastAsia="仿宋"/>
        </w:rPr>
      </w:pPr>
      <w:r>
        <w:rPr>
          <w:rFonts w:ascii="仿宋" w:hAnsi="仿宋" w:eastAsia="仿宋"/>
        </w:rPr>
        <w:t>（一）经济效益</w:t>
      </w:r>
    </w:p>
    <w:p w14:paraId="3A4F4922">
      <w:pPr>
        <w:spacing w:line="580" w:lineRule="exact"/>
        <w:ind w:firstLine="640" w:firstLineChars="200"/>
        <w:rPr>
          <w:rFonts w:hint="eastAsia" w:ascii="仿宋" w:hAnsi="仿宋" w:eastAsia="仿宋" w:cs="仿宋_GB2312"/>
          <w:sz w:val="32"/>
          <w:szCs w:val="32"/>
          <w:lang w:val="en-US" w:eastAsia="zh-CN"/>
        </w:rPr>
      </w:pPr>
      <w:bookmarkStart w:id="7" w:name="1.促进城市建设"/>
      <w:bookmarkEnd w:id="7"/>
      <w:bookmarkStart w:id="8" w:name="_bookmark13"/>
      <w:bookmarkEnd w:id="8"/>
      <w:bookmarkStart w:id="9" w:name="（三）经济效益。"/>
      <w:bookmarkEnd w:id="9"/>
      <w:r>
        <w:rPr>
          <w:rFonts w:hint="eastAsia" w:ascii="仿宋" w:hAnsi="仿宋" w:eastAsia="仿宋" w:cs="仿宋_GB2312"/>
          <w:sz w:val="32"/>
          <w:szCs w:val="32"/>
          <w:lang w:val="en-US" w:eastAsia="zh-CN"/>
        </w:rPr>
        <w:t>1.项目建设可缓解就业压力</w:t>
      </w:r>
    </w:p>
    <w:p w14:paraId="2E577C29">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项目建成后将创造如下就业机会：一是，项目平时的运营管理、维修等需要一定工作人员，直接提供就业机会；二是，工程建设将会加速当地经济的发展，由此带来相关产业的繁荣，将间接带来大量的就业机会；三是，项目建成后，将间接带动周边服务业的发展，提供大量第三产业就业机会。总的来说，工程的建设将直接或间接带来大量就业机会，从而改变原有的劳动力结构，将增加从业人员收入水平。</w:t>
      </w:r>
    </w:p>
    <w:p w14:paraId="0BFBCDF1">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2.为城市经济发展提供了发展保障</w:t>
      </w:r>
    </w:p>
    <w:p w14:paraId="5E110EDD">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项目的实施，建筑垃圾资源化处理项目，是城市环境卫生基础设施，作为公共事业，本项目的建筑垃圾收集、转运的建设带来的直接经济效益有限，但是项目实施后，可改善城市投资环境，提升城市形象，便于招商引资，促进社会生产力的发展，获得间接的经济效益。</w:t>
      </w:r>
    </w:p>
    <w:p w14:paraId="1A5F0712">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通过项目财务分析计算，项目的各项财务经济指标均达到或好于行业的基准指标。项目运营计算期中，可实现项目总收入58543.75万元，可实现总成本53782.78万元，可实现息前净现金流34082.26万元，政府专项债券到期本息合计26240.00万元，息前净现金流量/地方债券融资本息覆盖倍数为1.30倍，能较好地实现收益与融资自求平衡，且具备一定抗风险能力。</w:t>
      </w:r>
    </w:p>
    <w:p w14:paraId="636595BB">
      <w:pPr>
        <w:pStyle w:val="2"/>
        <w:spacing w:line="580" w:lineRule="exact"/>
        <w:ind w:firstLine="643"/>
        <w:rPr>
          <w:rFonts w:ascii="仿宋" w:hAnsi="仿宋" w:eastAsia="仿宋"/>
        </w:rPr>
      </w:pPr>
      <w:r>
        <w:rPr>
          <w:rFonts w:ascii="仿宋" w:hAnsi="仿宋" w:eastAsia="仿宋"/>
        </w:rPr>
        <w:t>（二）社会效益</w:t>
      </w:r>
    </w:p>
    <w:p w14:paraId="0F92CE6A">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1.促进身心健康</w:t>
      </w:r>
    </w:p>
    <w:p w14:paraId="43100F13">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建筑垃圾的处理，总体环境质量的改善，都有益于人们的身心健康，减少疾病的发生，提高人们的生活质量，降低医疗费用。</w:t>
      </w:r>
    </w:p>
    <w:p w14:paraId="50AE880F">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2.增加就业机会</w:t>
      </w:r>
    </w:p>
    <w:p w14:paraId="03C2FC8B">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南充市废弃物资源化利用和处置建设项目的建设与投产，可以安置一批富余劳动力，增加就业机会，促进劳动力的转移，产生良好的社会效益。</w:t>
      </w:r>
    </w:p>
    <w:p w14:paraId="1750FD3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3.其他社会效益</w:t>
      </w:r>
    </w:p>
    <w:p w14:paraId="4B0691BA">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地区环境质量的提高，将会为南充市顺庆区吸引更多投资，并促进建筑垃圾回收产业和其他产业的发展，其间接带来的经济效益是巨大的。</w:t>
      </w:r>
    </w:p>
    <w:p w14:paraId="066471A9">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4.造福民生，改善环境</w:t>
      </w:r>
    </w:p>
    <w:p w14:paraId="2C49AAAB">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人群健康状况是与环境质量密切相关的，特别是土地环境受到污染后建筑垃圾中的有害污染物一旦通过消化道或皮肤进入人体，会破坏机体正常的生理功能，危害健康，给人群带来精神和经济损失。</w:t>
      </w:r>
    </w:p>
    <w:p w14:paraId="6D5B744D">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lang w:val="en-US" w:eastAsia="zh-CN"/>
        </w:rPr>
        <w:t>综上所述，本项目的实施，将会产生良好的经济效益、社会效益，推动地方经济发展和社会进步。</w:t>
      </w:r>
    </w:p>
    <w:p w14:paraId="3A3A372E">
      <w:pPr>
        <w:spacing w:line="580" w:lineRule="exact"/>
        <w:ind w:left="141" w:hanging="141" w:hangingChars="44"/>
        <w:outlineLvl w:val="0"/>
        <w:rPr>
          <w:rStyle w:val="19"/>
          <w:rFonts w:ascii="仿宋" w:hAnsi="仿宋" w:eastAsia="仿宋"/>
          <w:b/>
          <w:bCs/>
          <w:sz w:val="32"/>
          <w:szCs w:val="32"/>
        </w:rPr>
      </w:pPr>
      <w:bookmarkStart w:id="10" w:name="三、项目投资估算及资金筹措方案"/>
      <w:bookmarkEnd w:id="10"/>
      <w:r>
        <w:rPr>
          <w:rStyle w:val="19"/>
          <w:rFonts w:ascii="仿宋" w:hAnsi="仿宋" w:eastAsia="仿宋"/>
          <w:b/>
          <w:bCs/>
          <w:sz w:val="32"/>
          <w:szCs w:val="32"/>
        </w:rPr>
        <w:t>三、项目投资估算及资金筹措方案</w:t>
      </w:r>
    </w:p>
    <w:p w14:paraId="64812B25">
      <w:pPr>
        <w:spacing w:line="580" w:lineRule="exact"/>
        <w:ind w:firstLine="643" w:firstLineChars="200"/>
        <w:outlineLvl w:val="1"/>
        <w:rPr>
          <w:rStyle w:val="19"/>
          <w:rFonts w:ascii="仿宋" w:hAnsi="仿宋" w:eastAsia="仿宋"/>
          <w:b/>
          <w:bCs/>
          <w:sz w:val="32"/>
          <w:szCs w:val="32"/>
        </w:rPr>
      </w:pPr>
      <w:r>
        <w:rPr>
          <w:rStyle w:val="19"/>
          <w:rFonts w:ascii="仿宋" w:hAnsi="仿宋" w:eastAsia="仿宋"/>
          <w:b/>
          <w:bCs/>
          <w:sz w:val="32"/>
          <w:szCs w:val="32"/>
        </w:rPr>
        <w:t>（一）</w:t>
      </w:r>
      <w:r>
        <w:rPr>
          <w:rStyle w:val="19"/>
          <w:rFonts w:ascii="仿宋" w:hAnsi="仿宋" w:eastAsia="仿宋"/>
          <w:b/>
          <w:bCs/>
          <w:sz w:val="32"/>
          <w:szCs w:val="32"/>
        </w:rPr>
        <w:tab/>
      </w:r>
      <w:r>
        <w:rPr>
          <w:rStyle w:val="19"/>
          <w:rFonts w:ascii="仿宋" w:hAnsi="仿宋" w:eastAsia="仿宋"/>
          <w:b/>
          <w:bCs/>
          <w:sz w:val="32"/>
          <w:szCs w:val="32"/>
        </w:rPr>
        <w:t>投资估算</w:t>
      </w:r>
    </w:p>
    <w:p w14:paraId="45EE327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本项目总投资24477.00万元。其中：工程费用21473.00万元，占总投资的87.73%；工程建设其他费用1093.95万元，占总投资的4.47%；预备费1155.65万元，占总投资的4.72%；建设期利息738.00万元，占总投资的3.02%;债券发行费16.40万元，占总投资的0.07%。</w:t>
      </w:r>
    </w:p>
    <w:p w14:paraId="3C8670D1">
      <w:pPr>
        <w:spacing w:line="580" w:lineRule="exact"/>
        <w:ind w:firstLine="643" w:firstLineChars="200"/>
        <w:outlineLvl w:val="1"/>
        <w:rPr>
          <w:rStyle w:val="19"/>
          <w:rFonts w:ascii="仿宋" w:hAnsi="仿宋" w:eastAsia="仿宋"/>
          <w:b/>
          <w:bCs/>
          <w:sz w:val="32"/>
          <w:szCs w:val="32"/>
        </w:rPr>
      </w:pPr>
      <w:r>
        <w:rPr>
          <w:rStyle w:val="19"/>
          <w:rFonts w:ascii="仿宋" w:hAnsi="仿宋" w:eastAsia="仿宋"/>
          <w:b/>
          <w:bCs/>
          <w:sz w:val="32"/>
          <w:szCs w:val="32"/>
        </w:rPr>
        <w:t>（二）资金筹措方案</w:t>
      </w:r>
    </w:p>
    <w:p w14:paraId="33591382">
      <w:pPr>
        <w:spacing w:line="580" w:lineRule="exact"/>
        <w:ind w:firstLine="643" w:firstLineChars="200"/>
        <w:outlineLvl w:val="2"/>
        <w:rPr>
          <w:rStyle w:val="19"/>
          <w:rFonts w:ascii="仿宋" w:hAnsi="仿宋" w:eastAsia="仿宋"/>
          <w:b/>
          <w:bCs/>
          <w:sz w:val="32"/>
          <w:szCs w:val="32"/>
        </w:rPr>
      </w:pPr>
      <w:r>
        <w:rPr>
          <w:rStyle w:val="19"/>
          <w:rFonts w:ascii="仿宋" w:hAnsi="仿宋" w:eastAsia="仿宋"/>
          <w:b/>
          <w:bCs/>
          <w:sz w:val="32"/>
          <w:szCs w:val="32"/>
        </w:rPr>
        <w:t>1. 资金筹集情况</w:t>
      </w:r>
    </w:p>
    <w:p w14:paraId="66B64B4E">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本项目总投资</w:t>
      </w:r>
      <w:r>
        <w:rPr>
          <w:rFonts w:hint="eastAsia" w:ascii="仿宋" w:hAnsi="仿宋" w:eastAsia="仿宋" w:cs="仿宋_GB2312"/>
          <w:sz w:val="32"/>
          <w:szCs w:val="32"/>
          <w:lang w:val="en-US" w:eastAsia="zh-CN"/>
        </w:rPr>
        <w:t>24477.00</w:t>
      </w:r>
      <w:r>
        <w:rPr>
          <w:rFonts w:hint="eastAsia" w:ascii="仿宋" w:hAnsi="仿宋" w:eastAsia="仿宋" w:cs="仿宋_GB2312"/>
          <w:sz w:val="32"/>
          <w:szCs w:val="32"/>
        </w:rPr>
        <w:t>万元，其资金来源为地方专项债券资金及</w:t>
      </w:r>
      <w:r>
        <w:rPr>
          <w:rFonts w:hint="eastAsia" w:ascii="仿宋" w:hAnsi="仿宋" w:eastAsia="仿宋" w:cs="仿宋_GB2312"/>
          <w:sz w:val="32"/>
          <w:szCs w:val="32"/>
          <w:lang w:val="en-US" w:eastAsia="zh-CN"/>
        </w:rPr>
        <w:t>财政资金</w:t>
      </w:r>
      <w:r>
        <w:rPr>
          <w:rFonts w:hint="eastAsia" w:ascii="仿宋" w:hAnsi="仿宋" w:eastAsia="仿宋" w:cs="仿宋_GB2312"/>
          <w:sz w:val="32"/>
          <w:szCs w:val="32"/>
        </w:rPr>
        <w:t>。</w:t>
      </w:r>
    </w:p>
    <w:p w14:paraId="4BCFAF74">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项目资本金：为</w:t>
      </w:r>
      <w:r>
        <w:rPr>
          <w:rFonts w:hint="eastAsia" w:ascii="仿宋" w:hAnsi="仿宋" w:eastAsia="仿宋" w:cs="仿宋_GB2312"/>
          <w:sz w:val="32"/>
          <w:szCs w:val="32"/>
          <w:lang w:val="en-US" w:eastAsia="zh-CN"/>
        </w:rPr>
        <w:t>8077</w:t>
      </w:r>
      <w:r>
        <w:rPr>
          <w:rFonts w:hint="eastAsia" w:ascii="仿宋" w:hAnsi="仿宋" w:eastAsia="仿宋" w:cs="仿宋_GB2312"/>
          <w:sz w:val="32"/>
          <w:szCs w:val="32"/>
        </w:rPr>
        <w:t>.00万元，占项目总投资的</w:t>
      </w:r>
      <w:r>
        <w:rPr>
          <w:rFonts w:hint="eastAsia" w:ascii="仿宋" w:hAnsi="仿宋" w:eastAsia="仿宋" w:cs="仿宋_GB2312"/>
          <w:sz w:val="32"/>
          <w:szCs w:val="32"/>
          <w:lang w:val="en-US" w:eastAsia="zh-CN"/>
        </w:rPr>
        <w:t>33.00</w:t>
      </w:r>
      <w:r>
        <w:rPr>
          <w:rFonts w:hint="eastAsia" w:ascii="仿宋" w:hAnsi="仿宋" w:eastAsia="仿宋" w:cs="仿宋_GB2312"/>
          <w:sz w:val="32"/>
          <w:szCs w:val="32"/>
        </w:rPr>
        <w:t>%，</w:t>
      </w:r>
      <w:r>
        <w:rPr>
          <w:rFonts w:hint="eastAsia" w:ascii="仿宋" w:hAnsi="仿宋" w:eastAsia="仿宋" w:cs="仿宋_GB2312"/>
          <w:sz w:val="32"/>
          <w:szCs w:val="32"/>
          <w:highlight w:val="none"/>
          <w:lang w:val="en-US" w:eastAsia="zh-CN"/>
        </w:rPr>
        <w:t>其资本金来源于财政资金</w:t>
      </w:r>
      <w:r>
        <w:rPr>
          <w:rFonts w:hint="eastAsia" w:ascii="仿宋" w:hAnsi="仿宋" w:eastAsia="仿宋" w:cs="仿宋_GB2312"/>
          <w:sz w:val="32"/>
          <w:szCs w:val="32"/>
        </w:rPr>
        <w:t>。</w:t>
      </w:r>
    </w:p>
    <w:p w14:paraId="4EC95E64">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申请专项债券资金：计划发行项目收益专项债券融资额度</w:t>
      </w:r>
      <w:r>
        <w:rPr>
          <w:rFonts w:hint="eastAsia" w:ascii="仿宋" w:hAnsi="仿宋" w:eastAsia="仿宋" w:cs="仿宋_GB2312"/>
          <w:sz w:val="32"/>
          <w:szCs w:val="32"/>
          <w:lang w:val="en-US" w:eastAsia="zh-CN"/>
        </w:rPr>
        <w:t>16400.00</w:t>
      </w:r>
      <w:r>
        <w:rPr>
          <w:rFonts w:hint="eastAsia" w:ascii="仿宋" w:hAnsi="仿宋" w:eastAsia="仿宋" w:cs="仿宋_GB2312"/>
          <w:sz w:val="32"/>
          <w:szCs w:val="32"/>
        </w:rPr>
        <w:t>万元，占项目总投资的</w:t>
      </w:r>
      <w:r>
        <w:rPr>
          <w:rFonts w:hint="eastAsia" w:ascii="仿宋" w:hAnsi="仿宋" w:eastAsia="仿宋" w:cs="仿宋_GB2312"/>
          <w:sz w:val="32"/>
          <w:szCs w:val="32"/>
          <w:lang w:val="en-US" w:eastAsia="zh-CN"/>
        </w:rPr>
        <w:t>67.00</w:t>
      </w:r>
      <w:r>
        <w:rPr>
          <w:rFonts w:hint="eastAsia" w:ascii="仿宋" w:hAnsi="仿宋" w:eastAsia="仿宋" w:cs="仿宋_GB2312"/>
          <w:sz w:val="32"/>
          <w:szCs w:val="32"/>
        </w:rPr>
        <w:t>%</w:t>
      </w:r>
      <w:r>
        <w:rPr>
          <w:rFonts w:ascii="仿宋" w:hAnsi="仿宋" w:eastAsia="仿宋" w:cs="仿宋_GB2312"/>
          <w:sz w:val="32"/>
          <w:szCs w:val="32"/>
        </w:rPr>
        <w:t>。</w:t>
      </w:r>
    </w:p>
    <w:p w14:paraId="2F50E539">
      <w:pPr>
        <w:numPr>
          <w:ilvl w:val="0"/>
          <w:numId w:val="2"/>
        </w:numPr>
        <w:spacing w:line="580" w:lineRule="exact"/>
        <w:ind w:firstLine="643" w:firstLineChars="200"/>
        <w:outlineLvl w:val="2"/>
        <w:rPr>
          <w:rStyle w:val="19"/>
          <w:rFonts w:ascii="仿宋" w:hAnsi="仿宋" w:eastAsia="仿宋"/>
          <w:b/>
          <w:bCs/>
          <w:sz w:val="32"/>
          <w:szCs w:val="32"/>
        </w:rPr>
      </w:pPr>
      <w:r>
        <w:rPr>
          <w:rStyle w:val="19"/>
          <w:rFonts w:ascii="仿宋" w:hAnsi="仿宋" w:eastAsia="仿宋"/>
          <w:b/>
          <w:bCs/>
          <w:sz w:val="32"/>
          <w:szCs w:val="32"/>
        </w:rPr>
        <w:t>资金使用计划</w:t>
      </w:r>
    </w:p>
    <w:p w14:paraId="681C4EE8">
      <w:pPr>
        <w:bidi w:val="0"/>
        <w:jc w:val="center"/>
        <w:rPr>
          <w:rFonts w:hint="eastAsia"/>
          <w:b/>
          <w:bCs/>
          <w:lang w:val="en-US" w:eastAsia="zh-CN"/>
        </w:rPr>
      </w:pPr>
      <w:r>
        <w:rPr>
          <w:rFonts w:hint="eastAsia"/>
          <w:b/>
          <w:bCs/>
          <w:lang w:val="en-US" w:eastAsia="zh-CN"/>
        </w:rPr>
        <w:t>资金使用计划表</w:t>
      </w:r>
    </w:p>
    <w:tbl>
      <w:tblPr>
        <w:tblStyle w:val="1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5"/>
        <w:gridCol w:w="2328"/>
        <w:gridCol w:w="1881"/>
        <w:gridCol w:w="1975"/>
        <w:gridCol w:w="1977"/>
      </w:tblGrid>
      <w:tr w14:paraId="7B666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4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65C4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9D4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投资构成</w:t>
            </w:r>
          </w:p>
        </w:tc>
        <w:tc>
          <w:tcPr>
            <w:tcW w:w="103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367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21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2DC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建设期</w:t>
            </w:r>
          </w:p>
        </w:tc>
      </w:tr>
      <w:tr w14:paraId="25070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4938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1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A6F0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103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D019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3C7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第1年</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96F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第2年</w:t>
            </w:r>
          </w:p>
        </w:tc>
      </w:tr>
      <w:tr w14:paraId="5146F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41E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329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资金使用</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DA9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24477.00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182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12238.50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2951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12238.50 </w:t>
            </w:r>
          </w:p>
        </w:tc>
      </w:tr>
      <w:tr w14:paraId="45FC1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87D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2A3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静态建设总投资</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4C9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23722.60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326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11984.30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4FC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11738.30 </w:t>
            </w:r>
          </w:p>
        </w:tc>
      </w:tr>
      <w:tr w14:paraId="5E5FA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8D5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88AD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建设期债券利息</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5A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738.00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4CA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246.00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A1F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r>
      <w:tr w14:paraId="4BA4D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4965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C5B9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债券发行费用</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158C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AED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D8F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 </w:t>
            </w:r>
          </w:p>
        </w:tc>
      </w:tr>
      <w:tr w14:paraId="11613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923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267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资金筹措</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C9A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24477.00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BB2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12238.50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B41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12238.50 </w:t>
            </w:r>
          </w:p>
        </w:tc>
      </w:tr>
      <w:tr w14:paraId="62E51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3D0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FB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项目资本金</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A25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8077.00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3DE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4038.50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B15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4038.50 </w:t>
            </w:r>
          </w:p>
        </w:tc>
      </w:tr>
      <w:tr w14:paraId="016F0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CFBA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1DA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业主自筹</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D48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8077.00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768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4038.50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D52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4038.50 </w:t>
            </w:r>
          </w:p>
        </w:tc>
      </w:tr>
      <w:tr w14:paraId="4A552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503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1E9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专项债券</w:t>
            </w:r>
          </w:p>
        </w:tc>
        <w:tc>
          <w:tcPr>
            <w:tcW w:w="10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C63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16400.00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042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8200.00 </w:t>
            </w:r>
          </w:p>
        </w:tc>
        <w:tc>
          <w:tcPr>
            <w:tcW w:w="10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2D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8200.00 </w:t>
            </w:r>
          </w:p>
        </w:tc>
      </w:tr>
    </w:tbl>
    <w:p w14:paraId="0F9FA0EA">
      <w:pPr>
        <w:bidi w:val="0"/>
        <w:jc w:val="center"/>
        <w:rPr>
          <w:rFonts w:hint="eastAsia"/>
          <w:b/>
          <w:bCs/>
          <w:lang w:val="en-US" w:eastAsia="zh-CN"/>
        </w:rPr>
      </w:pPr>
    </w:p>
    <w:p w14:paraId="5CCFFD21">
      <w:pPr>
        <w:spacing w:line="580" w:lineRule="exact"/>
        <w:ind w:leftChars="-67" w:hanging="141" w:hangingChars="44"/>
        <w:outlineLvl w:val="0"/>
        <w:rPr>
          <w:rStyle w:val="19"/>
          <w:rFonts w:ascii="仿宋" w:hAnsi="仿宋" w:eastAsia="仿宋"/>
          <w:b/>
          <w:bCs/>
          <w:sz w:val="32"/>
          <w:szCs w:val="32"/>
        </w:rPr>
      </w:pPr>
      <w:r>
        <w:rPr>
          <w:rStyle w:val="19"/>
          <w:rFonts w:ascii="仿宋" w:hAnsi="仿宋" w:eastAsia="仿宋"/>
          <w:b/>
          <w:bCs/>
          <w:sz w:val="32"/>
          <w:szCs w:val="32"/>
        </w:rPr>
        <w:t>四、项目预期收益、成本及融资平衡情况</w:t>
      </w:r>
    </w:p>
    <w:p w14:paraId="0BB98627">
      <w:pPr>
        <w:spacing w:line="580" w:lineRule="exact"/>
        <w:ind w:left="-67" w:firstLine="643" w:firstLineChars="200"/>
        <w:outlineLvl w:val="1"/>
        <w:rPr>
          <w:rStyle w:val="19"/>
          <w:rFonts w:ascii="仿宋" w:hAnsi="仿宋" w:eastAsia="仿宋"/>
          <w:b/>
          <w:bCs/>
          <w:sz w:val="32"/>
          <w:szCs w:val="32"/>
        </w:rPr>
      </w:pPr>
      <w:r>
        <w:rPr>
          <w:rStyle w:val="19"/>
          <w:rFonts w:ascii="仿宋" w:hAnsi="仿宋" w:eastAsia="仿宋"/>
          <w:b/>
          <w:bCs/>
          <w:sz w:val="32"/>
          <w:szCs w:val="32"/>
        </w:rPr>
        <w:t>（一）预期收益</w:t>
      </w:r>
    </w:p>
    <w:p w14:paraId="1743A637">
      <w:pPr>
        <w:spacing w:line="580" w:lineRule="exact"/>
        <w:ind w:left="-67" w:firstLine="643" w:firstLineChars="200"/>
        <w:outlineLvl w:val="2"/>
        <w:rPr>
          <w:rStyle w:val="19"/>
          <w:rFonts w:ascii="仿宋" w:hAnsi="仿宋" w:eastAsia="仿宋"/>
          <w:b/>
          <w:bCs/>
          <w:sz w:val="32"/>
          <w:szCs w:val="32"/>
        </w:rPr>
      </w:pPr>
      <w:r>
        <w:rPr>
          <w:rStyle w:val="19"/>
          <w:rFonts w:ascii="仿宋" w:hAnsi="仿宋" w:eastAsia="仿宋"/>
          <w:b/>
          <w:bCs/>
          <w:sz w:val="32"/>
          <w:szCs w:val="32"/>
        </w:rPr>
        <w:t>1.项目收入</w:t>
      </w:r>
    </w:p>
    <w:p w14:paraId="226C8FC6">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本项目的收入来源</w:t>
      </w:r>
      <w:r>
        <w:rPr>
          <w:rFonts w:hint="eastAsia" w:ascii="仿宋" w:hAnsi="仿宋" w:eastAsia="仿宋" w:cs="仿宋_GB2312"/>
          <w:sz w:val="32"/>
          <w:szCs w:val="32"/>
          <w:lang w:val="en-US" w:eastAsia="zh-CN"/>
        </w:rPr>
        <w:t>再生骨料收入、精制砂骨料收入、再生混泥土收入</w:t>
      </w:r>
      <w:r>
        <w:rPr>
          <w:rFonts w:hint="eastAsia" w:ascii="仿宋" w:hAnsi="仿宋" w:eastAsia="仿宋" w:cs="仿宋_GB2312"/>
          <w:sz w:val="32"/>
          <w:szCs w:val="32"/>
        </w:rPr>
        <w:t>，</w:t>
      </w:r>
      <w:r>
        <w:rPr>
          <w:rFonts w:ascii="仿宋" w:hAnsi="仿宋" w:eastAsia="仿宋" w:cs="仿宋_GB2312"/>
          <w:sz w:val="32"/>
          <w:szCs w:val="32"/>
        </w:rPr>
        <w:t>预计收入约为：</w:t>
      </w:r>
      <w:r>
        <w:rPr>
          <w:rFonts w:hint="eastAsia" w:ascii="仿宋" w:hAnsi="仿宋" w:eastAsia="仿宋" w:cs="仿宋_GB2312"/>
          <w:sz w:val="32"/>
          <w:szCs w:val="32"/>
          <w:lang w:val="en-US" w:eastAsia="zh-CN"/>
        </w:rPr>
        <w:t>58543.75</w:t>
      </w:r>
      <w:r>
        <w:rPr>
          <w:rFonts w:ascii="仿宋" w:hAnsi="仿宋" w:eastAsia="仿宋" w:cs="仿宋_GB2312"/>
          <w:sz w:val="32"/>
          <w:szCs w:val="32"/>
        </w:rPr>
        <w:t>万元</w:t>
      </w:r>
      <w:r>
        <w:rPr>
          <w:rFonts w:hint="eastAsia" w:ascii="仿宋" w:hAnsi="仿宋" w:eastAsia="仿宋" w:cs="仿宋_GB2312"/>
          <w:sz w:val="32"/>
          <w:szCs w:val="32"/>
        </w:rPr>
        <w:t>。</w:t>
      </w:r>
    </w:p>
    <w:p w14:paraId="7F37315F">
      <w:pPr>
        <w:spacing w:line="580" w:lineRule="exact"/>
        <w:ind w:left="-67" w:firstLine="643" w:firstLineChars="200"/>
        <w:outlineLvl w:val="2"/>
        <w:rPr>
          <w:rStyle w:val="19"/>
          <w:rFonts w:ascii="仿宋" w:hAnsi="仿宋" w:eastAsia="仿宋"/>
          <w:b/>
          <w:bCs/>
          <w:sz w:val="32"/>
          <w:szCs w:val="32"/>
          <w:highlight w:val="none"/>
        </w:rPr>
      </w:pPr>
      <w:r>
        <w:rPr>
          <w:rStyle w:val="19"/>
          <w:rFonts w:ascii="仿宋" w:hAnsi="仿宋" w:eastAsia="仿宋"/>
          <w:b/>
          <w:bCs/>
          <w:sz w:val="32"/>
          <w:szCs w:val="32"/>
          <w:highlight w:val="none"/>
        </w:rPr>
        <w:t>2.项目成本</w:t>
      </w:r>
    </w:p>
    <w:p w14:paraId="38CEDEBB">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项目总成本为</w:t>
      </w:r>
      <w:r>
        <w:rPr>
          <w:rFonts w:hint="eastAsia" w:ascii="仿宋" w:hAnsi="仿宋" w:eastAsia="仿宋" w:cs="仿宋_GB2312"/>
          <w:sz w:val="32"/>
          <w:szCs w:val="32"/>
          <w:lang w:val="en-US" w:eastAsia="zh-CN"/>
        </w:rPr>
        <w:t>53782.78</w:t>
      </w:r>
      <w:r>
        <w:rPr>
          <w:rFonts w:ascii="仿宋" w:hAnsi="仿宋" w:eastAsia="仿宋" w:cs="仿宋_GB2312"/>
          <w:sz w:val="32"/>
          <w:szCs w:val="32"/>
        </w:rPr>
        <w:t>万元，运营成本（不含财务费用）为</w:t>
      </w:r>
      <w:r>
        <w:rPr>
          <w:rFonts w:hint="eastAsia" w:ascii="仿宋" w:hAnsi="仿宋" w:eastAsia="仿宋" w:cs="仿宋_GB2312"/>
          <w:sz w:val="32"/>
          <w:szCs w:val="32"/>
          <w:lang w:val="en-US" w:eastAsia="zh-CN"/>
        </w:rPr>
        <w:t>17953.86</w:t>
      </w:r>
      <w:r>
        <w:rPr>
          <w:rFonts w:ascii="仿宋" w:hAnsi="仿宋" w:eastAsia="仿宋" w:cs="仿宋_GB2312"/>
          <w:sz w:val="32"/>
          <w:szCs w:val="32"/>
        </w:rPr>
        <w:t>万元。</w:t>
      </w:r>
    </w:p>
    <w:p w14:paraId="73E2B7B7">
      <w:pPr>
        <w:spacing w:line="580" w:lineRule="exact"/>
        <w:ind w:left="-67" w:firstLine="643" w:firstLineChars="200"/>
        <w:outlineLvl w:val="1"/>
        <w:rPr>
          <w:rStyle w:val="19"/>
          <w:rFonts w:ascii="仿宋" w:hAnsi="仿宋" w:eastAsia="仿宋"/>
          <w:b/>
          <w:bCs/>
          <w:sz w:val="32"/>
          <w:szCs w:val="32"/>
        </w:rPr>
      </w:pPr>
      <w:r>
        <w:rPr>
          <w:rStyle w:val="19"/>
          <w:rFonts w:ascii="仿宋" w:hAnsi="仿宋" w:eastAsia="仿宋"/>
          <w:b/>
          <w:bCs/>
          <w:sz w:val="32"/>
          <w:szCs w:val="32"/>
        </w:rPr>
        <w:t>（二）资金测算平衡情况</w:t>
      </w:r>
    </w:p>
    <w:p w14:paraId="29D0642F">
      <w:pPr>
        <w:spacing w:line="580" w:lineRule="exact"/>
        <w:ind w:firstLine="640" w:firstLineChars="200"/>
        <w:rPr>
          <w:rFonts w:ascii="仿宋" w:hAnsi="仿宋" w:eastAsia="仿宋" w:cs="仿宋_GB2312"/>
          <w:sz w:val="32"/>
          <w:szCs w:val="32"/>
        </w:rPr>
        <w:sectPr>
          <w:headerReference r:id="rId11" w:type="first"/>
          <w:headerReference r:id="rId9" w:type="default"/>
          <w:headerReference r:id="rId10" w:type="even"/>
          <w:pgSz w:w="11906" w:h="16838"/>
          <w:pgMar w:top="2098" w:right="1418" w:bottom="1588" w:left="1644" w:header="851" w:footer="992" w:gutter="0"/>
          <w:cols w:space="720" w:num="1"/>
          <w:docGrid w:type="lines" w:linePitch="435" w:charSpace="0"/>
        </w:sectPr>
      </w:pPr>
      <w:r>
        <w:rPr>
          <w:rFonts w:hint="eastAsia" w:ascii="仿宋" w:hAnsi="仿宋" w:eastAsia="仿宋" w:cs="仿宋_GB2312"/>
          <w:sz w:val="32"/>
          <w:szCs w:val="32"/>
          <w:lang w:val="en-GB" w:eastAsia="zh-CN"/>
        </w:rPr>
        <w:t>本项目综合上述专项收入、经营成本费用的估算，若项目在满足上述资金筹集计划、项目实施计划、资金使用计划及预期收益的假设前提下，项目在预测期内可实现息前净现金流</w:t>
      </w:r>
      <w:r>
        <w:rPr>
          <w:rFonts w:hint="eastAsia" w:ascii="仿宋" w:hAnsi="仿宋" w:eastAsia="仿宋" w:cs="仿宋_GB2312"/>
          <w:sz w:val="32"/>
          <w:szCs w:val="32"/>
          <w:lang w:val="en-US" w:eastAsia="zh-CN"/>
        </w:rPr>
        <w:t>34082.26</w:t>
      </w:r>
      <w:r>
        <w:rPr>
          <w:rFonts w:hint="eastAsia" w:ascii="仿宋" w:hAnsi="仿宋" w:eastAsia="仿宋" w:cs="仿宋_GB2312"/>
          <w:sz w:val="32"/>
          <w:szCs w:val="32"/>
          <w:lang w:val="en-GB" w:eastAsia="zh-CN"/>
        </w:rPr>
        <w:t>万元，政府专项债券到期本息合计</w:t>
      </w:r>
      <w:r>
        <w:rPr>
          <w:rFonts w:hint="eastAsia" w:ascii="仿宋" w:hAnsi="仿宋" w:eastAsia="仿宋" w:cs="仿宋_GB2312"/>
          <w:sz w:val="32"/>
          <w:szCs w:val="32"/>
          <w:lang w:val="en-US" w:eastAsia="zh-CN"/>
        </w:rPr>
        <w:t>26240.00</w:t>
      </w:r>
      <w:r>
        <w:rPr>
          <w:rFonts w:hint="eastAsia" w:ascii="仿宋" w:hAnsi="仿宋" w:eastAsia="仿宋" w:cs="仿宋_GB2312"/>
          <w:sz w:val="32"/>
          <w:szCs w:val="32"/>
          <w:lang w:val="en-GB" w:eastAsia="zh-CN"/>
        </w:rPr>
        <w:t>万元，本项目息前净现金流的收益覆盖倍数为1.</w:t>
      </w:r>
      <w:r>
        <w:rPr>
          <w:rFonts w:hint="eastAsia" w:ascii="仿宋" w:hAnsi="仿宋" w:eastAsia="仿宋" w:cs="仿宋_GB2312"/>
          <w:sz w:val="32"/>
          <w:szCs w:val="32"/>
          <w:lang w:val="en-US" w:eastAsia="zh-CN"/>
        </w:rPr>
        <w:t>30</w:t>
      </w:r>
      <w:r>
        <w:rPr>
          <w:rFonts w:hint="eastAsia" w:ascii="仿宋" w:hAnsi="仿宋" w:eastAsia="仿宋" w:cs="仿宋_GB2312"/>
          <w:sz w:val="32"/>
          <w:szCs w:val="32"/>
          <w:lang w:val="en-GB" w:eastAsia="zh-CN"/>
        </w:rPr>
        <w:t>倍</w:t>
      </w:r>
      <w:r>
        <w:rPr>
          <w:rFonts w:ascii="仿宋" w:hAnsi="仿宋" w:eastAsia="仿宋" w:cs="仿宋_GB2312"/>
          <w:sz w:val="32"/>
          <w:szCs w:val="32"/>
        </w:rPr>
        <w:t>。</w:t>
      </w:r>
    </w:p>
    <w:p w14:paraId="4BFCA4E5">
      <w:pPr>
        <w:widowControl w:val="0"/>
        <w:spacing w:afterLines="50" w:line="0" w:lineRule="atLeast"/>
        <w:jc w:val="center"/>
        <w:textAlignment w:val="auto"/>
      </w:pPr>
    </w:p>
    <w:p w14:paraId="0B85E664">
      <w:pPr>
        <w:rPr>
          <w:rFonts w:hint="eastAsia" w:ascii="Times New Roman" w:hAnsi="Times New Roman" w:eastAsia="仿宋" w:cs="Times New Roman"/>
          <w:b/>
          <w:bCs/>
          <w:kern w:val="2"/>
          <w:sz w:val="28"/>
          <w:szCs w:val="28"/>
          <w:lang w:val="en-US" w:eastAsia="zh-CN" w:bidi="ar-SA"/>
        </w:rPr>
      </w:pPr>
      <w:r>
        <w:rPr>
          <w:rFonts w:hint="eastAsia" w:ascii="Times New Roman" w:hAnsi="Times New Roman" w:eastAsia="仿宋" w:cs="Times New Roman"/>
          <w:b/>
          <w:bCs/>
          <w:kern w:val="2"/>
          <w:sz w:val="28"/>
          <w:szCs w:val="28"/>
          <w:lang w:val="en-US" w:eastAsia="zh-CN" w:bidi="ar-SA"/>
        </w:rPr>
        <w:t>项目资金平衡测算表</w:t>
      </w:r>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4"/>
        <w:gridCol w:w="2737"/>
        <w:gridCol w:w="1026"/>
        <w:gridCol w:w="965"/>
        <w:gridCol w:w="967"/>
        <w:gridCol w:w="866"/>
        <w:gridCol w:w="866"/>
        <w:gridCol w:w="866"/>
        <w:gridCol w:w="866"/>
        <w:gridCol w:w="866"/>
        <w:gridCol w:w="866"/>
        <w:gridCol w:w="866"/>
        <w:gridCol w:w="936"/>
      </w:tblGrid>
      <w:tr w14:paraId="7B40A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3CE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0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55F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p>
        </w:tc>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D2C8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C21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建设期</w:t>
            </w:r>
          </w:p>
        </w:tc>
        <w:tc>
          <w:tcPr>
            <w:tcW w:w="26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656679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运营期</w:t>
            </w:r>
          </w:p>
        </w:tc>
      </w:tr>
      <w:tr w14:paraId="62908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7B52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10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9721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7C83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9B3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第1年</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29F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第2年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BCE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第3年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55D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第4年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3D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第5年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BBD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第6年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E74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第7年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F4D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第8年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280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第9年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648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第10年</w:t>
            </w:r>
          </w:p>
        </w:tc>
      </w:tr>
      <w:tr w14:paraId="24030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EB6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8F63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经营活动产生的净现金流量（1-2）</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A80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34082.45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BE42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990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F29C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291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B87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1BA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10C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71C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644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52D0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r>
      <w:tr w14:paraId="6B2CD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05B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AA5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2A49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58543.75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0624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66E4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663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81C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3AB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7FB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3EB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C6C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7A7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1EB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r>
      <w:tr w14:paraId="27C7D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F64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2284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经营收入</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235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58543.75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19B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4250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82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115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AC0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B32B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273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1DF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934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2B8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r>
      <w:tr w14:paraId="15093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EAE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97F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补贴收入</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9B6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47E9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3736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435F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FA6A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639C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F010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AF7C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846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49E3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E7C9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09EBB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8C4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67B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DF6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24461.30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C7D7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1031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804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ED9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B3B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1C3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14C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EEB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021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301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r>
      <w:tr w14:paraId="34C5A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E0A7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DFB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经营成本</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EA9B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17953.86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B448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F7ED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454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D38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9982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DC30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A33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94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7A8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181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r>
      <w:tr w14:paraId="58261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393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809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相关税费（税金及附加+企业所得税）</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588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6507.44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A8A2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14F2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BF9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F7B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F95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3CC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E1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9BD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98B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441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r>
      <w:tr w14:paraId="745C7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DC1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A02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投资活动净现金流量（1-2）</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E6B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-23722.60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934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-11984.30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EBD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-11738.30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AC6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A13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E91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2C5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8291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470C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074E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0595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r>
      <w:tr w14:paraId="72543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C2F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1F3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0B8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1644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6A3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0639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BA94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2E6A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36DD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9250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C033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F0C1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4B61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2D45A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2B2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C3B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处置投资物</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F1A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25C6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F79E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43EA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5DDC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B1F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0EDD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9D16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9E60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CBA1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B3B9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12895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78C0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F6BB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收到其他投资</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78C1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AA6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FFAC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1967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276E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C35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7128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7A1D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288A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F592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3475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1612A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1EA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7BF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C04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23722.60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C0D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11984.30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17A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11738.30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93A0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117C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8069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73F2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FFAC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2FDC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BF39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457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56EED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8D7C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0E2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建设投资（静态总投资）</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850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23722.60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6E8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11984.30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CB3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11738.30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BE48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4DE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04E1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D5A7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4482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D6B4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DC75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F4C3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1C632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C27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3B7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维持运营投资</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BFC2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0029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38A6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619C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87A2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B57D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1D79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AFE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DDB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8359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704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0787E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1C6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DAD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筹措活动净现金流量（1-2）</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73D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-1779.40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984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11984.30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306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11738.30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576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044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B45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DAD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C6ED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7755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B4A1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685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r>
      <w:tr w14:paraId="38AED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57D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A44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C2D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24477.00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FC5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12238.50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EAD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12238.50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FD23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91A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8AD6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61CB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B028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4C1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B7C6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0C11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22A00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9FA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FED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项目资本金投入</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6D4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8077.00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D75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4038.50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3BC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4038.50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BBB2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AC88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C46A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394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FBC6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0075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B210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EFFA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0C516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01D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A52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专项债券资金</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85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16400.00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980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E56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8200.00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88DE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E276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4161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C4AE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ED0E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1781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61B5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5BE5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5F146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4A0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820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BD6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26256.40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710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254.20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E63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5A0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981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3862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081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89B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A69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D40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5D5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r>
      <w:tr w14:paraId="469DF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3EB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8C9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支付债券利息</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32F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9840.00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ED3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246.00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C25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84E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8C0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FBC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4BA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465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4C9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E02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427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r>
      <w:tr w14:paraId="637C6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31B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FB6F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支付债券发行费用</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FC8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B83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86A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81D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01B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D8E0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379F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FE9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6BFE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23E2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412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28421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5DA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6EE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支付专项债券本金</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C4B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16400.00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09F2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4D81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64CE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65AD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56C3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751D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EF7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EC17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8F05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48FC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67147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FDE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四</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4C76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现金流量总计</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AE3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74A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9496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1878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3859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9EB4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F36C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84F9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6F80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3720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FC8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r>
      <w:tr w14:paraId="73B15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C30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EB1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项目期的期初资金</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86C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214963.55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53B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D9E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669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98C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249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2610.10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0EB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3915.15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9A8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5220.20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4B3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6525.25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E96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7830.30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C07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9135.35 </w:t>
            </w:r>
          </w:p>
        </w:tc>
      </w:tr>
      <w:tr w14:paraId="4F3AB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C9B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ADA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项目期内现金变动（一+二+三）</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2BD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8580.45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558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F43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FE5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4F4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973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170E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445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1C8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3E5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EF4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r>
      <w:tr w14:paraId="5D46F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B2F4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10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AFD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项目期的期末资金</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B23A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616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363D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134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B608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2610.10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F53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3915.15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379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5220.20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6D7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6525.25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49E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7830.30 </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27F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9135.35 </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EBA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10440.40 </w:t>
            </w:r>
          </w:p>
        </w:tc>
      </w:tr>
    </w:tbl>
    <w:p w14:paraId="4C73C259">
      <w:pPr>
        <w:rPr>
          <w:rFonts w:hint="eastAsia" w:ascii="Times New Roman" w:hAnsi="Times New Roman" w:eastAsia="仿宋" w:cs="Times New Roman"/>
          <w:b/>
          <w:bCs/>
          <w:kern w:val="2"/>
          <w:sz w:val="28"/>
          <w:szCs w:val="28"/>
          <w:lang w:val="en-US" w:eastAsia="zh-CN" w:bidi="ar-SA"/>
        </w:rPr>
      </w:pPr>
    </w:p>
    <w:p w14:paraId="45EAC9DC">
      <w:pPr>
        <w:rPr>
          <w:rFonts w:hint="eastAsia" w:ascii="Times New Roman" w:hAnsi="Times New Roman" w:eastAsia="仿宋" w:cs="Times New Roman"/>
          <w:b/>
          <w:bCs/>
          <w:kern w:val="2"/>
          <w:sz w:val="28"/>
          <w:szCs w:val="28"/>
          <w:lang w:val="en-US" w:eastAsia="zh-CN" w:bidi="ar-SA"/>
        </w:rPr>
      </w:pPr>
    </w:p>
    <w:p w14:paraId="372FC232">
      <w:pPr>
        <w:rPr>
          <w:rFonts w:hint="eastAsia" w:ascii="Times New Roman" w:hAnsi="Times New Roman" w:eastAsia="仿宋" w:cs="Times New Roman"/>
          <w:b/>
          <w:bCs/>
          <w:kern w:val="2"/>
          <w:sz w:val="28"/>
          <w:szCs w:val="28"/>
          <w:lang w:val="en-US" w:eastAsia="zh-CN" w:bidi="ar-SA"/>
        </w:rPr>
      </w:pPr>
    </w:p>
    <w:p w14:paraId="4AFD61DF">
      <w:pPr>
        <w:rPr>
          <w:rFonts w:hint="eastAsia" w:ascii="Times New Roman" w:hAnsi="Times New Roman" w:eastAsia="仿宋" w:cs="Times New Roman"/>
          <w:b/>
          <w:bCs/>
          <w:kern w:val="2"/>
          <w:sz w:val="28"/>
          <w:szCs w:val="28"/>
          <w:lang w:val="en-US" w:eastAsia="zh-CN" w:bidi="ar-SA"/>
        </w:rPr>
      </w:pPr>
    </w:p>
    <w:p w14:paraId="1CA599AE">
      <w:pPr>
        <w:rPr>
          <w:rFonts w:hint="eastAsia" w:ascii="Times New Roman" w:hAnsi="Times New Roman" w:eastAsia="仿宋" w:cs="Times New Roman"/>
          <w:b/>
          <w:bCs/>
          <w:kern w:val="2"/>
          <w:sz w:val="28"/>
          <w:szCs w:val="28"/>
          <w:lang w:val="en-US" w:eastAsia="zh-CN" w:bidi="ar-SA"/>
        </w:rPr>
      </w:pPr>
    </w:p>
    <w:p w14:paraId="0B7765AC">
      <w:pPr>
        <w:rPr>
          <w:rFonts w:hint="eastAsia" w:ascii="Times New Roman" w:hAnsi="Times New Roman" w:eastAsia="仿宋" w:cs="Times New Roman"/>
          <w:b/>
          <w:bCs/>
          <w:kern w:val="2"/>
          <w:sz w:val="28"/>
          <w:szCs w:val="28"/>
          <w:lang w:val="en-US" w:eastAsia="zh-CN" w:bidi="ar-SA"/>
        </w:rPr>
      </w:pPr>
    </w:p>
    <w:p w14:paraId="7CD25A86">
      <w:pPr>
        <w:rPr>
          <w:rFonts w:hint="eastAsia" w:ascii="Times New Roman" w:hAnsi="Times New Roman" w:eastAsia="仿宋" w:cs="Times New Roman"/>
          <w:b/>
          <w:bCs/>
          <w:kern w:val="2"/>
          <w:sz w:val="28"/>
          <w:szCs w:val="28"/>
          <w:lang w:val="en-US" w:eastAsia="zh-CN" w:bidi="ar-SA"/>
        </w:rPr>
      </w:pPr>
      <w:r>
        <w:rPr>
          <w:rFonts w:hint="eastAsia" w:ascii="Times New Roman" w:hAnsi="Times New Roman" w:eastAsia="仿宋" w:cs="Times New Roman"/>
          <w:b/>
          <w:bCs/>
          <w:kern w:val="2"/>
          <w:sz w:val="28"/>
          <w:szCs w:val="28"/>
          <w:lang w:val="en-US" w:eastAsia="zh-CN" w:bidi="ar-SA"/>
        </w:rPr>
        <w:t>续表</w:t>
      </w:r>
    </w:p>
    <w:p w14:paraId="4DA9D65D"/>
    <w:tbl>
      <w:tblPr>
        <w:tblStyle w:val="1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6"/>
        <w:gridCol w:w="2585"/>
        <w:gridCol w:w="936"/>
        <w:gridCol w:w="936"/>
        <w:gridCol w:w="936"/>
        <w:gridCol w:w="936"/>
        <w:gridCol w:w="936"/>
        <w:gridCol w:w="936"/>
        <w:gridCol w:w="936"/>
        <w:gridCol w:w="936"/>
        <w:gridCol w:w="936"/>
        <w:gridCol w:w="936"/>
        <w:gridCol w:w="936"/>
      </w:tblGrid>
      <w:tr w14:paraId="7EBFA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753C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0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72D8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p>
        </w:tc>
        <w:tc>
          <w:tcPr>
            <w:tcW w:w="369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DCD67E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运营期</w:t>
            </w:r>
          </w:p>
        </w:tc>
      </w:tr>
      <w:tr w14:paraId="639D0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99BD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10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B284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D62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第11年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0FA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第12年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383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第13年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867F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第14年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BE8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第15年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C48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第16年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CCD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第17年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66B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第18年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B28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第19年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7DF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第20年</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9947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第21年</w:t>
            </w:r>
          </w:p>
        </w:tc>
      </w:tr>
      <w:tr w14:paraId="4558F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914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5E5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经营活动产生的净现金流量（1-2）</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B07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26B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D1A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5EB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7DA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58C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DC1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2CB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E33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DE4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1797.05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836D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1735.55 </w:t>
            </w:r>
          </w:p>
        </w:tc>
      </w:tr>
      <w:tr w14:paraId="1A8AA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087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F3D2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3F2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5ED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F7A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48A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333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F45C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336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8F2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54B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D54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EA58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r>
      <w:tr w14:paraId="63597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20F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745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经营收入</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ED6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46FA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289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747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205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9AE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55F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498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D17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5DF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12E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3081.25 </w:t>
            </w:r>
          </w:p>
        </w:tc>
      </w:tr>
      <w:tr w14:paraId="32A82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EC3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884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补贴收入</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AFD0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FE4E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31BE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A1EC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9C26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A0D0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FC88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D0E4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235A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E072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CD0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6F699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5BC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499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B98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721B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702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BA57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A6B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464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E75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6E3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813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706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1284.20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9B5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1345.70 </w:t>
            </w:r>
          </w:p>
        </w:tc>
      </w:tr>
      <w:tr w14:paraId="22493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EFF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41F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经营成本</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CDE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17F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DA3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8E9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536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F5D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E98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93D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6F1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676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E53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944.94 </w:t>
            </w:r>
          </w:p>
        </w:tc>
      </w:tr>
      <w:tr w14:paraId="2C4D3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ACA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F13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相关税费（税金及附加+企业所得税）</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F4E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6D19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1CE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70C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964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418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85A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DF6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ECF9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605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339.26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874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400.76 </w:t>
            </w:r>
          </w:p>
        </w:tc>
      </w:tr>
      <w:tr w14:paraId="313C1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EE2B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325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投资活动净现金流量（1-2）</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B86E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D256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D32F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3596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DA99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F4E4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0A21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A7B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83BD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1291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08B1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r>
      <w:tr w14:paraId="4926E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7A5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98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4B96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6127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E8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BF4E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E19C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1728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D39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D699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9483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24A5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0AEB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722A5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746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913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处置投资物</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1C18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0F8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C32C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090A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7241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3AAC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0077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2789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DC09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482D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B012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74FCF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10B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688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收到其他投资</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4C41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A10F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5252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DC3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03E8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3DA4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7BE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9CDF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D1C4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69EF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A848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08054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FE8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F27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A668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AB7F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7C1E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4B14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3DBB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DD36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D57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BD3F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EC95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32FE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549F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1B14B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FFA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7B36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建设投资（静态总投资）</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BE04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03AC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7BC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6096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DA8E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30D6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E70A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3B0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8828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4F4E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A91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52CEE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7133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9F3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维持运营投资</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98B7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51B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7AAA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6A05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AD83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E3B7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E4D0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8AE8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C509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97F8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EA52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19736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C3A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1A13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筹措活动净现金流量（1-2）</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3A2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8B0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531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A38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60F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BD35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E64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75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5AB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481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-8692.00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0EDD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-8446.00 </w:t>
            </w:r>
          </w:p>
        </w:tc>
      </w:tr>
      <w:tr w14:paraId="6D0A8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BF0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809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现金流入</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3B94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1364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DD94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4B3B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01E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6566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5CFF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91B0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917A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1BA2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EFC4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457E3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7E2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F61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项目资本金投入</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F487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9582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7F6C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0DA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48C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853B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0D4B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7A9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76C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C35B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C291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34A35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211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21E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专项债券资金</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6146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2DD6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0AB5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F74C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B43A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3D47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9061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52E1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2383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28E0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B68B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01811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B18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6F4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现金流出</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06B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470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B34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630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A339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3E6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B9A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E30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7DA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911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8692.00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393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8446.00 </w:t>
            </w:r>
          </w:p>
        </w:tc>
      </w:tr>
      <w:tr w14:paraId="465FD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3BF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28A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支付债券利息</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A24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0AA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408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B24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DE5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275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1311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F32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06F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A3B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492.00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D21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246.00 </w:t>
            </w:r>
          </w:p>
        </w:tc>
      </w:tr>
      <w:tr w14:paraId="7A22F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33D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DF0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支付债券发行费用</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86E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61AC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FE50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5C55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7EC8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F40D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45F3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7272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F5C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B2C3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A1A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r>
      <w:tr w14:paraId="7EFC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10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2.3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EBC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支付专项债券本金</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D0ED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6EC3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67DE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494E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BFF4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ADFB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37B8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AACB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B01A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856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8200.00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DA6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8200.00 </w:t>
            </w:r>
          </w:p>
        </w:tc>
      </w:tr>
      <w:tr w14:paraId="7BF68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B5B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四</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9DD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现金流量总计</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B42F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1801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7699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7AA0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0437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7BBB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E57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FF2D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3469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53EB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E6DC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i w:val="0"/>
                <w:iCs w:val="0"/>
                <w:color w:val="000000"/>
                <w:sz w:val="18"/>
                <w:szCs w:val="18"/>
                <w:u w:val="none"/>
              </w:rPr>
            </w:pPr>
          </w:p>
        </w:tc>
      </w:tr>
      <w:tr w14:paraId="7C1E4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9E2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D22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项目期的期初资金</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8A9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10440.40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7A54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11745.45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FD2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0FC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14355.55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E04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15660.60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82A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16965.65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23C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18270.70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6967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19575.75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E5B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20880.80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5D5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22185.85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725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15290.90 </w:t>
            </w:r>
          </w:p>
        </w:tc>
      </w:tr>
      <w:tr w14:paraId="42F22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831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162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项目期内现金变动（一+二+三）</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A1CD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55C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295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633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9E9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71E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A06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E74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3B0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519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-6894.95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5F4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-6710.45 </w:t>
            </w:r>
          </w:p>
        </w:tc>
      </w:tr>
      <w:tr w14:paraId="30447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 w:hRule="atLeast"/>
        </w:trPr>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138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10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92C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项目期的期末资金</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4E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11745.45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337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13050.50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7FF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14355.55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435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15660.60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E9A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16965.65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4C2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18270.70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EF3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19575.75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42A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20880.80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93C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22185.85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A48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15290.90 </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311D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8580.45 </w:t>
            </w:r>
          </w:p>
        </w:tc>
      </w:tr>
    </w:tbl>
    <w:p w14:paraId="6D4A79DE">
      <w:pPr>
        <w:sectPr>
          <w:pgSz w:w="16838" w:h="11906"/>
          <w:pgMar w:top="1644" w:right="2098" w:bottom="1418" w:left="1588" w:header="851" w:footer="992" w:gutter="0"/>
          <w:cols w:space="720" w:num="1"/>
          <w:docGrid w:type="lines" w:linePitch="435" w:charSpace="0"/>
        </w:sectPr>
      </w:pPr>
    </w:p>
    <w:p w14:paraId="506F55A5">
      <w:pPr>
        <w:pStyle w:val="16"/>
        <w:spacing w:line="580" w:lineRule="exact"/>
        <w:outlineLvl w:val="0"/>
        <w:rPr>
          <w:rStyle w:val="19"/>
          <w:rFonts w:ascii="仿宋" w:hAnsi="仿宋" w:eastAsia="仿宋"/>
          <w:b/>
          <w:bCs/>
          <w:sz w:val="32"/>
          <w:szCs w:val="32"/>
        </w:rPr>
      </w:pPr>
      <w:r>
        <w:rPr>
          <w:rStyle w:val="19"/>
          <w:rFonts w:ascii="仿宋" w:hAnsi="仿宋" w:eastAsia="仿宋"/>
          <w:b/>
          <w:bCs/>
          <w:sz w:val="32"/>
          <w:szCs w:val="32"/>
        </w:rPr>
        <w:t>五、项目绩效目标</w:t>
      </w:r>
    </w:p>
    <w:p w14:paraId="5D1BA301">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1、项目总体建设目标</w:t>
      </w:r>
    </w:p>
    <w:p w14:paraId="4D132194">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目标1:项目位于南充市顺庆区，占地约100亩，主要建设内容包括固体垃圾拆解及生产车间约8000㎡及新建年生产能力约50-80万吨拆解及生产线一条，固体垃圾堆场约20000㎡、产品仓库约3000㎡，生产商砼、水泥制品，沥青混凝土、碎石及花土等，建污水处理设施及道路等配套设施。</w:t>
      </w:r>
    </w:p>
    <w:p w14:paraId="63FF3EC9">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目标2:在2027年12月31日前完成项目竣工验收。</w:t>
      </w:r>
    </w:p>
    <w:p w14:paraId="538C1E91">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目标3:债券存续期内实现年度收支平衡和总体收支平衡。</w:t>
      </w:r>
    </w:p>
    <w:p w14:paraId="7417C875">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目标4:带动区域协同发展，提升区域经济发展水平和群众生活质量。</w:t>
      </w:r>
    </w:p>
    <w:p w14:paraId="306235D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2、2026年度目标</w:t>
      </w:r>
    </w:p>
    <w:p w14:paraId="370ED3F5">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目标1:完成项目前期设计、勘察、预算造价等前期手续，完成项目基础设施建设建设。</w:t>
      </w:r>
    </w:p>
    <w:p w14:paraId="132876DE">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目标2:工程按时开工。</w:t>
      </w:r>
    </w:p>
    <w:p w14:paraId="702D876D">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日标3:项目工程款支付按时支付，</w:t>
      </w:r>
    </w:p>
    <w:p w14:paraId="22CE2827">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目标4:按时取得项目开工许可证。</w:t>
      </w:r>
    </w:p>
    <w:p w14:paraId="55044868">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3、质量指标</w:t>
      </w:r>
    </w:p>
    <w:p w14:paraId="43BFF8D6">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指标1：项目竣工验收达标率</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≥95%</w:t>
      </w:r>
    </w:p>
    <w:p w14:paraId="564807E4">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指标2：项目设计方案变更率</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≤5%</w:t>
      </w:r>
    </w:p>
    <w:p w14:paraId="261159E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指标3：管网漏损率</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≤5%</w:t>
      </w:r>
    </w:p>
    <w:p w14:paraId="5BD9238C">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指标4：设备质量合格率</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≥95%</w:t>
      </w:r>
    </w:p>
    <w:p w14:paraId="1E890267">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指标5：设备故障率</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≤5%</w:t>
      </w:r>
    </w:p>
    <w:p w14:paraId="7EF324B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4、经济效益指标</w:t>
      </w:r>
    </w:p>
    <w:p w14:paraId="64B8C72B">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指标1：指标1：项目总收入</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≧58543.75万元</w:t>
      </w:r>
    </w:p>
    <w:p w14:paraId="1F3B6076">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5、社会效益指标</w:t>
      </w:r>
    </w:p>
    <w:p w14:paraId="6C901CA2">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指标1：建筑（工程）综合利用率</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≧90%</w:t>
      </w:r>
    </w:p>
    <w:p w14:paraId="2F3DBE88">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指标2：设施正常运转率</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≧90%</w:t>
      </w:r>
    </w:p>
    <w:p w14:paraId="0A553726">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指标3：设备利用率</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≧90%</w:t>
      </w:r>
    </w:p>
    <w:p w14:paraId="0F157F1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6、生态效益指标</w:t>
      </w:r>
    </w:p>
    <w:p w14:paraId="44F1A963">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指标1：水电能源节约率</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≧95%</w:t>
      </w:r>
    </w:p>
    <w:p w14:paraId="6D747085">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指标2：片区人居环境改善</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达成预期目标</w:t>
      </w:r>
    </w:p>
    <w:p w14:paraId="3A2F61CE">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7、可持续影响指标</w:t>
      </w:r>
    </w:p>
    <w:p w14:paraId="48EAD3C0">
      <w:pPr>
        <w:spacing w:line="580" w:lineRule="exact"/>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指标1：运营期限</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≧20年</w:t>
      </w:r>
    </w:p>
    <w:p w14:paraId="25193029">
      <w:pPr>
        <w:spacing w:line="58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lang w:val="en-US" w:eastAsia="zh-CN"/>
        </w:rPr>
        <w:t>指标2：设备使用年限</w:t>
      </w:r>
      <w:r>
        <w:rPr>
          <w:rFonts w:hint="eastAsia" w:ascii="仿宋" w:hAnsi="仿宋" w:eastAsia="仿宋" w:cs="仿宋_GB2312"/>
          <w:sz w:val="32"/>
          <w:szCs w:val="32"/>
          <w:lang w:val="en-US" w:eastAsia="zh-CN"/>
        </w:rPr>
        <w:tab/>
      </w:r>
      <w:r>
        <w:rPr>
          <w:rFonts w:hint="eastAsia" w:ascii="仿宋" w:hAnsi="仿宋" w:eastAsia="仿宋" w:cs="仿宋_GB2312"/>
          <w:sz w:val="32"/>
          <w:szCs w:val="32"/>
          <w:lang w:val="en-US" w:eastAsia="zh-CN"/>
        </w:rPr>
        <w:t>≧20年</w:t>
      </w:r>
      <w:r>
        <w:rPr>
          <w:rFonts w:hint="eastAsia" w:ascii="仿宋" w:hAnsi="仿宋" w:eastAsia="仿宋" w:cs="仿宋_GB2312"/>
          <w:sz w:val="32"/>
          <w:szCs w:val="32"/>
        </w:rPr>
        <w:t>。</w:t>
      </w:r>
    </w:p>
    <w:p w14:paraId="6A78565E">
      <w:pPr>
        <w:pStyle w:val="16"/>
        <w:spacing w:line="580" w:lineRule="exact"/>
        <w:ind w:firstLine="643" w:firstLineChars="200"/>
        <w:outlineLvl w:val="0"/>
        <w:rPr>
          <w:rStyle w:val="19"/>
          <w:rFonts w:ascii="仿宋" w:hAnsi="仿宋" w:eastAsia="仿宋"/>
          <w:b/>
          <w:bCs/>
          <w:sz w:val="32"/>
          <w:szCs w:val="32"/>
        </w:rPr>
      </w:pPr>
      <w:r>
        <w:rPr>
          <w:rStyle w:val="19"/>
          <w:rFonts w:ascii="仿宋" w:hAnsi="仿宋" w:eastAsia="仿宋"/>
          <w:b/>
          <w:bCs/>
          <w:sz w:val="32"/>
          <w:szCs w:val="32"/>
        </w:rPr>
        <w:t>六、潜在影响项目的风险评估</w:t>
      </w:r>
    </w:p>
    <w:p w14:paraId="24264F60">
      <w:pPr>
        <w:pStyle w:val="16"/>
        <w:spacing w:after="0" w:line="580" w:lineRule="exact"/>
        <w:ind w:firstLine="602" w:firstLineChars="200"/>
        <w:jc w:val="both"/>
        <w:outlineLvl w:val="1"/>
        <w:rPr>
          <w:rStyle w:val="19"/>
          <w:rFonts w:ascii="仿宋" w:hAnsi="仿宋" w:eastAsia="仿宋"/>
          <w:b/>
          <w:bCs/>
          <w:sz w:val="30"/>
          <w:szCs w:val="30"/>
        </w:rPr>
      </w:pPr>
      <w:r>
        <w:rPr>
          <w:rStyle w:val="19"/>
          <w:rFonts w:ascii="仿宋" w:hAnsi="仿宋" w:eastAsia="仿宋"/>
          <w:b/>
          <w:bCs/>
          <w:sz w:val="30"/>
          <w:szCs w:val="30"/>
        </w:rPr>
        <w:t xml:space="preserve">（一）影响项目施工进度或正常运营的风险及控制措施 </w:t>
      </w:r>
    </w:p>
    <w:p w14:paraId="70996E0C">
      <w:pPr>
        <w:spacing w:line="580" w:lineRule="exact"/>
        <w:ind w:firstLine="640" w:firstLineChars="200"/>
        <w:rPr>
          <w:rStyle w:val="19"/>
          <w:rFonts w:ascii="仿宋" w:hAnsi="仿宋" w:eastAsia="仿宋"/>
          <w:sz w:val="30"/>
          <w:szCs w:val="30"/>
        </w:rPr>
      </w:pPr>
      <w:r>
        <w:rPr>
          <w:rFonts w:ascii="仿宋" w:hAnsi="仿宋" w:eastAsia="仿宋" w:cs="仿宋_GB2312"/>
          <w:sz w:val="32"/>
          <w:szCs w:val="32"/>
        </w:rPr>
        <w:t>恶劣的自然条件：通过购买保险进行风险转移；来源于供应商和施工者的 风险：选择有资质供应商和施工方；设计变更导致的风险：明确质量标准；资金落实不到位：加强管理；产生事故：对施工安全情况进行评估。</w:t>
      </w:r>
    </w:p>
    <w:p w14:paraId="167F92EA">
      <w:pPr>
        <w:pStyle w:val="16"/>
        <w:spacing w:after="0" w:line="580" w:lineRule="exact"/>
        <w:ind w:firstLine="602" w:firstLineChars="200"/>
        <w:jc w:val="both"/>
        <w:outlineLvl w:val="1"/>
        <w:rPr>
          <w:rStyle w:val="19"/>
          <w:rFonts w:ascii="仿宋" w:hAnsi="仿宋" w:eastAsia="仿宋"/>
          <w:b/>
          <w:bCs/>
          <w:sz w:val="30"/>
          <w:szCs w:val="30"/>
        </w:rPr>
      </w:pPr>
      <w:r>
        <w:rPr>
          <w:rStyle w:val="19"/>
          <w:rFonts w:ascii="仿宋" w:hAnsi="仿宋" w:eastAsia="仿宋"/>
          <w:b/>
          <w:bCs/>
          <w:sz w:val="30"/>
          <w:szCs w:val="30"/>
        </w:rPr>
        <w:t xml:space="preserve">（二）影响项目收益的风险及控制措施 </w:t>
      </w:r>
    </w:p>
    <w:p w14:paraId="779F0884">
      <w:pPr>
        <w:spacing w:line="580" w:lineRule="exact"/>
        <w:ind w:firstLine="640" w:firstLineChars="200"/>
        <w:rPr>
          <w:rFonts w:cs="仿宋_GB2312"/>
          <w:sz w:val="32"/>
          <w:szCs w:val="32"/>
        </w:rPr>
      </w:pPr>
      <w:r>
        <w:rPr>
          <w:rFonts w:ascii="仿宋" w:hAnsi="仿宋" w:eastAsia="仿宋" w:cs="仿宋_GB2312"/>
          <w:sz w:val="32"/>
          <w:szCs w:val="32"/>
        </w:rPr>
        <w:t>生产经营不确定性带来的风险：要求项目管理单位关注土地出让情况，保证还本付息资金；市场经济环境变化产生的风险：合理分配债券的额度和期限财务成本上涨的风险：加强施工预算管理，在施工中合理控制成本。</w:t>
      </w:r>
    </w:p>
    <w:p w14:paraId="1DBB06BD">
      <w:pPr>
        <w:pStyle w:val="16"/>
        <w:spacing w:after="0" w:line="580" w:lineRule="exact"/>
        <w:ind w:firstLine="602" w:firstLineChars="200"/>
        <w:jc w:val="both"/>
        <w:outlineLvl w:val="1"/>
        <w:rPr>
          <w:rStyle w:val="19"/>
          <w:rFonts w:ascii="仿宋" w:hAnsi="仿宋" w:eastAsia="仿宋"/>
          <w:b/>
          <w:bCs/>
          <w:sz w:val="30"/>
          <w:szCs w:val="30"/>
        </w:rPr>
      </w:pPr>
      <w:r>
        <w:rPr>
          <w:rStyle w:val="19"/>
          <w:rFonts w:ascii="仿宋" w:hAnsi="仿宋" w:eastAsia="仿宋"/>
          <w:b/>
          <w:bCs/>
          <w:sz w:val="30"/>
          <w:szCs w:val="30"/>
        </w:rPr>
        <w:t xml:space="preserve">（三）影响融资平衡结果的风险及控制措施 </w:t>
      </w:r>
    </w:p>
    <w:p w14:paraId="2CB524B5">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投资测算不准确的风险：对测算中的基本假设做合理性评估，复核测算结果；利率波动带来的风险：可约定提前还债；严格执行债券风险预警机制。</w:t>
      </w:r>
    </w:p>
    <w:p w14:paraId="59895DD3">
      <w:pPr>
        <w:pStyle w:val="16"/>
        <w:spacing w:line="580" w:lineRule="exact"/>
        <w:ind w:firstLine="643" w:firstLineChars="200"/>
        <w:outlineLvl w:val="0"/>
        <w:rPr>
          <w:rStyle w:val="19"/>
          <w:rFonts w:ascii="仿宋" w:hAnsi="仿宋" w:eastAsia="仿宋"/>
          <w:b/>
          <w:bCs/>
          <w:sz w:val="32"/>
          <w:szCs w:val="32"/>
        </w:rPr>
      </w:pPr>
      <w:r>
        <w:rPr>
          <w:rStyle w:val="19"/>
          <w:rFonts w:ascii="仿宋" w:hAnsi="仿宋" w:eastAsia="仿宋"/>
          <w:b/>
          <w:bCs/>
          <w:sz w:val="32"/>
          <w:szCs w:val="32"/>
        </w:rPr>
        <w:t>七、还款保障情况</w:t>
      </w:r>
    </w:p>
    <w:p w14:paraId="49926B3E">
      <w:pPr>
        <w:spacing w:line="580" w:lineRule="exact"/>
        <w:ind w:firstLine="640" w:firstLineChars="200"/>
        <w:rPr>
          <w:rFonts w:ascii="仿宋" w:hAnsi="仿宋" w:eastAsia="仿宋" w:cs="仿宋_GB2312"/>
          <w:sz w:val="32"/>
          <w:szCs w:val="32"/>
        </w:rPr>
      </w:pPr>
      <w:r>
        <w:rPr>
          <w:rFonts w:ascii="仿宋" w:hAnsi="仿宋" w:eastAsia="仿宋" w:cs="仿宋_GB2312"/>
          <w:sz w:val="32"/>
          <w:szCs w:val="32"/>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32D8E2AE">
      <w:pPr>
        <w:pStyle w:val="16"/>
        <w:spacing w:line="580" w:lineRule="exact"/>
        <w:ind w:firstLine="643" w:firstLineChars="200"/>
        <w:outlineLvl w:val="0"/>
        <w:rPr>
          <w:rStyle w:val="19"/>
          <w:rFonts w:ascii="仿宋" w:hAnsi="仿宋" w:eastAsia="仿宋"/>
          <w:b/>
          <w:bCs/>
          <w:sz w:val="32"/>
          <w:szCs w:val="32"/>
        </w:rPr>
      </w:pPr>
      <w:r>
        <w:rPr>
          <w:rStyle w:val="19"/>
          <w:rFonts w:hint="eastAsia" w:ascii="仿宋" w:hAnsi="仿宋" w:eastAsia="仿宋"/>
          <w:b/>
          <w:bCs/>
          <w:sz w:val="32"/>
          <w:szCs w:val="32"/>
        </w:rPr>
        <w:t>八、</w:t>
      </w:r>
      <w:r>
        <w:rPr>
          <w:rStyle w:val="19"/>
          <w:rFonts w:ascii="仿宋" w:hAnsi="仿宋" w:eastAsia="仿宋"/>
          <w:b/>
          <w:bCs/>
          <w:sz w:val="32"/>
          <w:szCs w:val="32"/>
        </w:rPr>
        <w:t>主管部门</w:t>
      </w:r>
      <w:r>
        <w:rPr>
          <w:rStyle w:val="19"/>
          <w:rFonts w:hint="eastAsia" w:ascii="仿宋" w:hAnsi="仿宋" w:eastAsia="仿宋"/>
          <w:b/>
          <w:bCs/>
          <w:sz w:val="32"/>
          <w:szCs w:val="32"/>
        </w:rPr>
        <w:t>及项目单位</w:t>
      </w:r>
      <w:r>
        <w:rPr>
          <w:rStyle w:val="19"/>
          <w:rFonts w:ascii="仿宋" w:hAnsi="仿宋" w:eastAsia="仿宋"/>
          <w:b/>
          <w:bCs/>
          <w:sz w:val="32"/>
          <w:szCs w:val="32"/>
        </w:rPr>
        <w:t>职责</w:t>
      </w:r>
    </w:p>
    <w:p w14:paraId="2E735752">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本项目的主管部门为</w:t>
      </w:r>
      <w:r>
        <w:rPr>
          <w:rFonts w:hint="eastAsia" w:ascii="仿宋" w:hAnsi="仿宋" w:eastAsia="仿宋" w:cs="仿宋_GB2312"/>
          <w:sz w:val="32"/>
          <w:szCs w:val="32"/>
          <w:lang w:val="en-US" w:eastAsia="zh-CN"/>
        </w:rPr>
        <w:t>南充市顺庆区综合行政执法局</w:t>
      </w:r>
      <w:r>
        <w:rPr>
          <w:rFonts w:hint="eastAsia" w:ascii="仿宋" w:hAnsi="仿宋" w:eastAsia="仿宋" w:cs="仿宋_GB2312"/>
          <w:sz w:val="32"/>
          <w:szCs w:val="32"/>
        </w:rPr>
        <w:t>，职责为负责对本部门专项债券项目审核把关，指导和监督项目单位做好资产管理，汇总本行业专项债券形成资产情况并报本级财政部门；加强项目运营监管，推动项目尽快建成投运，动态跟踪项目运营情况；督促运营主体及时足额将运营收入按规定缴入财政，对收入无法偿还债券本息的，及时研究提出工作措施。</w:t>
      </w:r>
    </w:p>
    <w:p w14:paraId="04B93944">
      <w:pPr>
        <w:spacing w:line="580" w:lineRule="exact"/>
        <w:ind w:firstLine="640" w:firstLineChars="200"/>
      </w:pPr>
      <w:r>
        <w:rPr>
          <w:rFonts w:hint="eastAsia" w:ascii="仿宋" w:hAnsi="仿宋" w:eastAsia="仿宋" w:cs="仿宋_GB2312"/>
          <w:sz w:val="32"/>
          <w:szCs w:val="32"/>
        </w:rPr>
        <w:t>本项目的项目单位为</w:t>
      </w:r>
      <w:r>
        <w:rPr>
          <w:rFonts w:hint="eastAsia" w:ascii="仿宋" w:hAnsi="仿宋" w:eastAsia="仿宋" w:cs="仿宋_GB2312"/>
          <w:sz w:val="32"/>
          <w:szCs w:val="32"/>
          <w:lang w:val="en-US" w:eastAsia="zh-CN"/>
        </w:rPr>
        <w:t>南充尚泰再生科技有限公司</w:t>
      </w:r>
      <w:r>
        <w:rPr>
          <w:rFonts w:hint="eastAsia" w:ascii="仿宋" w:hAnsi="仿宋" w:eastAsia="仿宋" w:cs="仿宋_GB2312"/>
          <w:sz w:val="32"/>
          <w:szCs w:val="32"/>
        </w:rPr>
        <w:t>。职责为负责提出本项目需求申请，编制报送项目实施方案及相关资料，配合做好债券发行准备。规范使用债券资金，及时形成支出，提高资金使用效益。项目单位制定项目建设计划，加快项目建设进度，确保项目各阶段任务按计划时间完成。加强项目运营管理，对专项债券项目运营收支专账核算，持续提升运营能力。定期评估项目成本、预期收益和对应资产价值等，发现风险或异常情况及时向主管部门报告。编制专项债券收支、偿还计划并纳入单位年度预算管理，将债券项目收入及时足额缴入国库。做好数据填报、信息公开等相关工作。对专项债券形成资产规划、初始论证、权属确定等工作，按规定登记专项债券形成资产明细台账，及时向本级财政、主管部门报告。</w:t>
      </w:r>
    </w:p>
    <w:p w14:paraId="61DA43AF">
      <w:pPr>
        <w:pStyle w:val="16"/>
        <w:spacing w:after="0" w:line="580" w:lineRule="exact"/>
        <w:ind w:firstLine="643" w:firstLineChars="200"/>
        <w:outlineLvl w:val="0"/>
        <w:rPr>
          <w:rStyle w:val="19"/>
          <w:rFonts w:ascii="仿宋" w:hAnsi="仿宋" w:eastAsia="仿宋"/>
          <w:b/>
          <w:bCs/>
          <w:sz w:val="32"/>
          <w:szCs w:val="32"/>
        </w:rPr>
      </w:pPr>
      <w:r>
        <w:rPr>
          <w:rStyle w:val="19"/>
          <w:rFonts w:hint="eastAsia" w:ascii="仿宋" w:hAnsi="仿宋" w:eastAsia="仿宋"/>
          <w:b/>
          <w:bCs/>
          <w:sz w:val="32"/>
          <w:szCs w:val="32"/>
        </w:rPr>
        <w:t>九、</w:t>
      </w:r>
      <w:r>
        <w:rPr>
          <w:rStyle w:val="19"/>
          <w:rFonts w:ascii="仿宋" w:hAnsi="仿宋" w:eastAsia="仿宋"/>
          <w:b/>
          <w:bCs/>
          <w:sz w:val="32"/>
          <w:szCs w:val="32"/>
        </w:rPr>
        <w:t>补充说明</w:t>
      </w:r>
    </w:p>
    <w:p w14:paraId="1574D62C">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此项目债券资金总需求</w:t>
      </w:r>
      <w:r>
        <w:rPr>
          <w:rFonts w:hint="eastAsia" w:ascii="仿宋" w:hAnsi="仿宋" w:eastAsia="仿宋" w:cs="仿宋_GB2312"/>
          <w:sz w:val="32"/>
          <w:szCs w:val="32"/>
          <w:lang w:val="en-US" w:eastAsia="zh-CN"/>
        </w:rPr>
        <w:t>16400</w:t>
      </w:r>
      <w:r>
        <w:rPr>
          <w:rFonts w:hint="eastAsia" w:ascii="仿宋" w:hAnsi="仿宋" w:eastAsia="仿宋" w:cs="仿宋_GB2312"/>
          <w:sz w:val="32"/>
          <w:szCs w:val="32"/>
        </w:rPr>
        <w:t>万元，根据地方政府债务限额管理要求和项目实施进展情况,本次拟发行</w:t>
      </w:r>
      <w:r>
        <w:rPr>
          <w:rFonts w:hint="eastAsia" w:ascii="仿宋" w:hAnsi="仿宋" w:eastAsia="仿宋" w:cs="仿宋_GB2312"/>
          <w:sz w:val="32"/>
          <w:szCs w:val="32"/>
          <w:lang w:val="en-US" w:eastAsia="zh-CN"/>
        </w:rPr>
        <w:t>5000</w:t>
      </w:r>
      <w:r>
        <w:rPr>
          <w:rFonts w:hint="eastAsia" w:ascii="仿宋" w:hAnsi="仿宋" w:eastAsia="仿宋" w:cs="仿宋_GB2312"/>
          <w:sz w:val="32"/>
          <w:szCs w:val="32"/>
        </w:rPr>
        <w:t>万元，期限</w:t>
      </w:r>
      <w:r>
        <w:rPr>
          <w:rFonts w:hint="eastAsia" w:ascii="仿宋" w:hAnsi="仿宋" w:eastAsia="仿宋" w:cs="仿宋_GB2312"/>
          <w:sz w:val="32"/>
          <w:szCs w:val="32"/>
          <w:lang w:val="en-US" w:eastAsia="zh-CN"/>
        </w:rPr>
        <w:t>20</w:t>
      </w:r>
      <w:r>
        <w:rPr>
          <w:rFonts w:hint="eastAsia" w:ascii="仿宋" w:hAnsi="仿宋" w:eastAsia="仿宋" w:cs="仿宋_GB2312"/>
          <w:sz w:val="32"/>
          <w:szCs w:val="32"/>
        </w:rPr>
        <w:t>年。</w:t>
      </w:r>
    </w:p>
    <w:sectPr>
      <w:headerReference r:id="rId12" w:type="default"/>
      <w:footerReference r:id="rId13" w:type="default"/>
      <w:pgSz w:w="11906" w:h="16838"/>
      <w:pgMar w:top="2098" w:right="1418" w:bottom="1588" w:left="1644" w:header="851" w:footer="992" w:gutter="0"/>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FCFA9B-DA36-47E3-9AF3-B79845DB4A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CE067D2F-3FAB-4DDA-8DEE-DA0F1DB6BC0C}"/>
  </w:font>
  <w:font w:name="仿宋_GB2312">
    <w:panose1 w:val="02010609030101010101"/>
    <w:charset w:val="86"/>
    <w:family w:val="modern"/>
    <w:pitch w:val="default"/>
    <w:sig w:usb0="00000001" w:usb1="080E0000" w:usb2="00000000" w:usb3="00000000" w:csb0="00040000" w:csb1="00000000"/>
    <w:embedRegular r:id="rId3" w:fontKey="{3B079224-5AE4-4CC7-A800-80885591B4AB}"/>
  </w:font>
  <w:font w:name="Cambria">
    <w:panose1 w:val="02040503050406030204"/>
    <w:charset w:val="00"/>
    <w:family w:val="roman"/>
    <w:pitch w:val="default"/>
    <w:sig w:usb0="E00006FF" w:usb1="420024FF" w:usb2="02000000" w:usb3="00000000" w:csb0="2000019F" w:csb1="00000000"/>
  </w:font>
  <w:font w:name="Univers 45 Light">
    <w:altName w:val="Courier New"/>
    <w:panose1 w:val="00000000000000000000"/>
    <w:charset w:val="00"/>
    <w:family w:val="swiss"/>
    <w:pitch w:val="default"/>
    <w:sig w:usb0="00000000" w:usb1="00000000" w:usb2="00000000" w:usb3="00000000" w:csb0="00000001" w:csb1="00000000"/>
  </w:font>
  <w:font w:name="WPSEMBED5">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7523733"/>
      <w:docPartObj>
        <w:docPartGallery w:val="autotext"/>
      </w:docPartObj>
    </w:sdtPr>
    <w:sdtContent>
      <w:p w14:paraId="7CD90D7A">
        <w:pPr>
          <w:pStyle w:val="10"/>
          <w:jc w:val="center"/>
        </w:pPr>
        <w:r>
          <w:fldChar w:fldCharType="begin"/>
        </w:r>
        <w:r>
          <w:instrText xml:space="preserve">PAGE   \* MERGEFORMAT</w:instrText>
        </w:r>
        <w:r>
          <w:fldChar w:fldCharType="separate"/>
        </w:r>
        <w:r>
          <w:rPr>
            <w:lang w:val="zh-CN"/>
          </w:rPr>
          <w:t>1</w:t>
        </w:r>
        <w:r>
          <w:fldChar w:fldCharType="end"/>
        </w:r>
      </w:p>
    </w:sdtContent>
  </w:sdt>
  <w:p w14:paraId="54A7218B">
    <w:pPr>
      <w:pStyle w:val="6"/>
      <w:spacing w:line="14" w:lineRule="auto"/>
      <w:rPr>
        <w:sz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E6309">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13AF8">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278E">
    <w:pPr>
      <w:pStyle w:val="10"/>
      <w:jc w:val="center"/>
      <w:rPr>
        <w:rStyle w:val="19"/>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53365" cy="220980"/>
              <wp:effectExtent l="0" t="0" r="0" b="0"/>
              <wp:wrapNone/>
              <wp:docPr id="2" name="文本框 4"/>
              <wp:cNvGraphicFramePr/>
              <a:graphic xmlns:a="http://schemas.openxmlformats.org/drawingml/2006/main">
                <a:graphicData uri="http://schemas.microsoft.com/office/word/2010/wordprocessingShape">
                  <wps:wsp>
                    <wps:cNvSpPr txBox="1"/>
                    <wps:spPr>
                      <a:xfrm>
                        <a:off x="0" y="0"/>
                        <a:ext cx="253365" cy="220980"/>
                      </a:xfrm>
                      <a:prstGeom prst="rect">
                        <a:avLst/>
                      </a:prstGeom>
                      <a:noFill/>
                      <a:ln w="6350">
                        <a:noFill/>
                      </a:ln>
                    </wps:spPr>
                    <wps:txbx>
                      <w:txbxContent>
                        <w:p w14:paraId="50588763">
                          <w:pPr>
                            <w:pStyle w:val="10"/>
                            <w:rPr>
                              <w:rFonts w:eastAsia="宋体"/>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lIns="0" tIns="0" rIns="0" bIns="0" upright="1"/>
                  </wps:wsp>
                </a:graphicData>
              </a:graphic>
            </wp:anchor>
          </w:drawing>
        </mc:Choice>
        <mc:Fallback>
          <w:pict>
            <v:shape id="文本框 4" o:spid="_x0000_s1026" o:spt="202" type="#_x0000_t202" style="position:absolute;left:0pt;margin-top:0pt;height:17.4pt;width:19.95pt;mso-position-horizontal:center;mso-position-horizontal-relative:margin;z-index:251659264;mso-width-relative:page;mso-height-relative:page;" filled="f" stroked="f" coordsize="21600,21600" o:gfxdata="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RIjWDTAAAAAwEAAA8AAAAAAAAAAQAgAAAAIgAAAGRycy9kb3ducmV2LnhtbFBL&#10;AQIUABQAAAAIAIdO4kC+zL61wgEAAHoDAAAOAAAAAAAAAAEAIAAAACIBAABkcnMvZTJvRG9jLnht&#10;bFBLBQYAAAAABgAGAFkBAABWBQAAAAA=&#10;">
              <v:fill on="f" focussize="0,0"/>
              <v:stroke on="f" weight="0.5pt"/>
              <v:imagedata o:title=""/>
              <o:lock v:ext="edit" aspectratio="f"/>
              <v:textbox inset="0mm,0mm,0mm,0mm">
                <w:txbxContent>
                  <w:p w14:paraId="50588763">
                    <w:pPr>
                      <w:pStyle w:val="10"/>
                      <w:rPr>
                        <w:rFonts w:eastAsia="宋体"/>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8075E">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02096">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B4B2A">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FC3B">
    <w:pPr>
      <w:pStyle w:val="1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55E31">
    <w:pPr>
      <w:pStyle w:val="11"/>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5A551">
    <w:pPr>
      <w:pStyle w:val="11"/>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3482">
    <w:pPr>
      <w:pStyle w:val="11"/>
      <w:ind w:firstLine="360"/>
      <w:rPr>
        <w:rStyle w:val="19"/>
      </w:rPr>
    </w:pPr>
    <w:r>
      <w:br w:type="pag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13836A"/>
    <w:multiLevelType w:val="singleLevel"/>
    <w:tmpl w:val="C313836A"/>
    <w:lvl w:ilvl="0" w:tentative="0">
      <w:start w:val="2"/>
      <w:numFmt w:val="chineseCounting"/>
      <w:suff w:val="nothing"/>
      <w:lvlText w:val="%1、"/>
      <w:lvlJc w:val="left"/>
      <w:pPr>
        <w:textAlignment w:val="baseline"/>
      </w:pPr>
    </w:lvl>
  </w:abstractNum>
  <w:abstractNum w:abstractNumId="1">
    <w:nsid w:val="6A9CF1D9"/>
    <w:multiLevelType w:val="singleLevel"/>
    <w:tmpl w:val="6A9CF1D9"/>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hdrShapeDefaults>
    <o:shapelayout v:ext="edit">
      <o:idmap v:ext="edit" data="1"/>
    </o:shapelayout>
  </w:hdrShapeDefault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ODcwYzEwZWZiMzcyZTgzYjcxYTZkZDBkZTc2ZWEifQ=="/>
  </w:docVars>
  <w:rsids>
    <w:rsidRoot w:val="00706B92"/>
    <w:rsid w:val="000802CC"/>
    <w:rsid w:val="0009013D"/>
    <w:rsid w:val="000A0F5B"/>
    <w:rsid w:val="000A6997"/>
    <w:rsid w:val="000C1258"/>
    <w:rsid w:val="000D6EF8"/>
    <w:rsid w:val="001100D3"/>
    <w:rsid w:val="001317F1"/>
    <w:rsid w:val="00143E2A"/>
    <w:rsid w:val="00185322"/>
    <w:rsid w:val="002416D1"/>
    <w:rsid w:val="00252F6F"/>
    <w:rsid w:val="00320957"/>
    <w:rsid w:val="00330AE9"/>
    <w:rsid w:val="003B035A"/>
    <w:rsid w:val="004137BD"/>
    <w:rsid w:val="00454408"/>
    <w:rsid w:val="00462FE7"/>
    <w:rsid w:val="004B452A"/>
    <w:rsid w:val="005555F5"/>
    <w:rsid w:val="00556BBB"/>
    <w:rsid w:val="00582DBA"/>
    <w:rsid w:val="005B4E19"/>
    <w:rsid w:val="00607B9C"/>
    <w:rsid w:val="006124F0"/>
    <w:rsid w:val="0064170B"/>
    <w:rsid w:val="00687824"/>
    <w:rsid w:val="006A4535"/>
    <w:rsid w:val="006F3172"/>
    <w:rsid w:val="00706B92"/>
    <w:rsid w:val="00727361"/>
    <w:rsid w:val="00782DD1"/>
    <w:rsid w:val="007C6839"/>
    <w:rsid w:val="007D750E"/>
    <w:rsid w:val="008453BF"/>
    <w:rsid w:val="00851CBE"/>
    <w:rsid w:val="00864B18"/>
    <w:rsid w:val="00867B55"/>
    <w:rsid w:val="008A0C83"/>
    <w:rsid w:val="00952BE8"/>
    <w:rsid w:val="00984810"/>
    <w:rsid w:val="00A0045B"/>
    <w:rsid w:val="00A10266"/>
    <w:rsid w:val="00A36345"/>
    <w:rsid w:val="00A47320"/>
    <w:rsid w:val="00A65C6D"/>
    <w:rsid w:val="00A707EE"/>
    <w:rsid w:val="00A71B35"/>
    <w:rsid w:val="00A77F4F"/>
    <w:rsid w:val="00AE5A2A"/>
    <w:rsid w:val="00BF6007"/>
    <w:rsid w:val="00C2063D"/>
    <w:rsid w:val="00CA45D4"/>
    <w:rsid w:val="00CD375F"/>
    <w:rsid w:val="00CF4683"/>
    <w:rsid w:val="00D2179B"/>
    <w:rsid w:val="00D87190"/>
    <w:rsid w:val="00DC6617"/>
    <w:rsid w:val="00DD688F"/>
    <w:rsid w:val="00DF6BF9"/>
    <w:rsid w:val="00E118E7"/>
    <w:rsid w:val="00E24FCF"/>
    <w:rsid w:val="00E32B9C"/>
    <w:rsid w:val="00E75E13"/>
    <w:rsid w:val="00EB3CFC"/>
    <w:rsid w:val="00F0195A"/>
    <w:rsid w:val="00F103D6"/>
    <w:rsid w:val="00F2339B"/>
    <w:rsid w:val="00F2511F"/>
    <w:rsid w:val="00F44954"/>
    <w:rsid w:val="00FC7CBF"/>
    <w:rsid w:val="00FE0DA8"/>
    <w:rsid w:val="01A3103C"/>
    <w:rsid w:val="09BD5CD5"/>
    <w:rsid w:val="0A5E1E94"/>
    <w:rsid w:val="101B60BD"/>
    <w:rsid w:val="15941C65"/>
    <w:rsid w:val="16B05DB1"/>
    <w:rsid w:val="178634C9"/>
    <w:rsid w:val="188B1C62"/>
    <w:rsid w:val="19E576A2"/>
    <w:rsid w:val="22B64E26"/>
    <w:rsid w:val="245D15AE"/>
    <w:rsid w:val="2DBE5C85"/>
    <w:rsid w:val="30D5265F"/>
    <w:rsid w:val="33B17CDB"/>
    <w:rsid w:val="3A300C69"/>
    <w:rsid w:val="3B873629"/>
    <w:rsid w:val="3E9B447E"/>
    <w:rsid w:val="3F97392D"/>
    <w:rsid w:val="41D87B75"/>
    <w:rsid w:val="41FC01DB"/>
    <w:rsid w:val="45F71C27"/>
    <w:rsid w:val="4CB42CAC"/>
    <w:rsid w:val="57FA75DD"/>
    <w:rsid w:val="623A44C2"/>
    <w:rsid w:val="67946157"/>
    <w:rsid w:val="6CBF795B"/>
    <w:rsid w:val="70742FA6"/>
    <w:rsid w:val="743754E5"/>
    <w:rsid w:val="78B65FDD"/>
    <w:rsid w:val="7FEE3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Calibri" w:hAnsi="Times New Roman" w:eastAsia="宋体" w:cs="Times New Roman"/>
      <w:kern w:val="2"/>
      <w:sz w:val="21"/>
      <w:szCs w:val="22"/>
      <w:lang w:val="en-US" w:eastAsia="zh-CN" w:bidi="ar-SA"/>
    </w:rPr>
  </w:style>
  <w:style w:type="paragraph" w:styleId="2">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34"/>
    <w:qFormat/>
    <w:uiPriority w:val="0"/>
    <w:pPr>
      <w:keepNext/>
      <w:keepLines/>
      <w:widowControl w:val="0"/>
      <w:autoSpaceDE w:val="0"/>
      <w:autoSpaceDN w:val="0"/>
      <w:spacing w:before="260" w:after="260" w:line="416" w:lineRule="auto"/>
      <w:jc w:val="left"/>
      <w:textAlignment w:val="auto"/>
      <w:outlineLvl w:val="2"/>
    </w:pPr>
    <w:rPr>
      <w:rFonts w:ascii="仿宋" w:hAnsi="仿宋" w:eastAsia="仿宋" w:cs="仿宋"/>
      <w:b/>
      <w:bCs/>
      <w:kern w:val="0"/>
      <w:sz w:val="32"/>
      <w:szCs w:val="32"/>
      <w:lang w:val="zh-CN" w:bidi="zh-CN"/>
    </w:rPr>
  </w:style>
  <w:style w:type="paragraph" w:styleId="4">
    <w:name w:val="heading 4"/>
    <w:basedOn w:val="1"/>
    <w:next w:val="1"/>
    <w:qFormat/>
    <w:uiPriority w:val="0"/>
    <w:pPr>
      <w:keepNext/>
      <w:keepLines/>
      <w:spacing w:before="280" w:after="290" w:line="372"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firstLine="420" w:firstLineChars="200"/>
    </w:pPr>
  </w:style>
  <w:style w:type="paragraph" w:styleId="6">
    <w:name w:val="Body Text"/>
    <w:basedOn w:val="1"/>
    <w:next w:val="7"/>
    <w:link w:val="15"/>
    <w:qFormat/>
    <w:uiPriority w:val="1"/>
    <w:pPr>
      <w:widowControl w:val="0"/>
      <w:autoSpaceDE w:val="0"/>
      <w:autoSpaceDN w:val="0"/>
      <w:jc w:val="left"/>
      <w:textAlignment w:val="auto"/>
    </w:pPr>
    <w:rPr>
      <w:rFonts w:ascii="仿宋" w:hAnsi="仿宋" w:eastAsia="仿宋" w:cs="仿宋"/>
      <w:kern w:val="0"/>
      <w:sz w:val="32"/>
      <w:szCs w:val="32"/>
      <w:lang w:val="zh-CN" w:bidi="zh-CN"/>
    </w:rPr>
  </w:style>
  <w:style w:type="paragraph" w:styleId="7">
    <w:name w:val="toc 1"/>
    <w:basedOn w:val="1"/>
    <w:next w:val="1"/>
    <w:qFormat/>
    <w:uiPriority w:val="39"/>
  </w:style>
  <w:style w:type="paragraph" w:styleId="8">
    <w:name w:val="Block Text"/>
    <w:basedOn w:val="1"/>
    <w:next w:val="1"/>
    <w:qFormat/>
    <w:uiPriority w:val="99"/>
    <w:pPr>
      <w:spacing w:line="300" w:lineRule="exact"/>
      <w:ind w:left="-105" w:leftChars="-50" w:right="-105" w:rightChars="-50"/>
      <w:jc w:val="center"/>
    </w:pPr>
    <w:rPr>
      <w:rFonts w:ascii="宋体" w:hAnsi="宋体"/>
      <w:sz w:val="18"/>
    </w:rPr>
  </w:style>
  <w:style w:type="paragraph" w:styleId="9">
    <w:name w:val="Plain Text"/>
    <w:basedOn w:val="1"/>
    <w:next w:val="1"/>
    <w:link w:val="33"/>
    <w:qFormat/>
    <w:uiPriority w:val="0"/>
    <w:pPr>
      <w:widowControl w:val="0"/>
      <w:autoSpaceDE w:val="0"/>
      <w:autoSpaceDN w:val="0"/>
      <w:spacing w:line="520" w:lineRule="exact"/>
      <w:ind w:firstLine="480" w:firstLineChars="200"/>
      <w:jc w:val="left"/>
      <w:textAlignment w:val="auto"/>
    </w:pPr>
    <w:rPr>
      <w:rFonts w:ascii="仿宋" w:hAnsi="宋体" w:eastAsia="仿宋" w:cs="仿宋"/>
      <w:kern w:val="0"/>
      <w:sz w:val="24"/>
      <w:szCs w:val="21"/>
      <w:lang w:val="zh-CN" w:bidi="zh-CN"/>
    </w:rPr>
  </w:style>
  <w:style w:type="paragraph" w:styleId="10">
    <w:name w:val="footer"/>
    <w:basedOn w:val="1"/>
    <w:link w:val="21"/>
    <w:qFormat/>
    <w:uiPriority w:val="99"/>
    <w:pPr>
      <w:tabs>
        <w:tab w:val="center" w:pos="4153"/>
        <w:tab w:val="right" w:pos="8306"/>
      </w:tabs>
      <w:snapToGrid w:val="0"/>
      <w:jc w:val="left"/>
    </w:pPr>
    <w:rPr>
      <w:rFonts w:ascii="仿宋_GB2312" w:eastAsia="仿宋_GB2312"/>
      <w:sz w:val="18"/>
      <w:szCs w:val="18"/>
    </w:rPr>
  </w:style>
  <w:style w:type="paragraph" w:styleId="11">
    <w:name w:val="header"/>
    <w:basedOn w:val="1"/>
    <w:link w:val="22"/>
    <w:qFormat/>
    <w:uiPriority w:val="0"/>
    <w:pPr>
      <w:tabs>
        <w:tab w:val="center" w:pos="4153"/>
        <w:tab w:val="right" w:pos="8306"/>
      </w:tabs>
      <w:snapToGrid w:val="0"/>
      <w:spacing w:line="620" w:lineRule="exact"/>
      <w:ind w:firstLine="200" w:firstLineChars="200"/>
      <w:jc w:val="center"/>
    </w:pPr>
    <w:rPr>
      <w:rFonts w:ascii="仿宋_GB2312" w:eastAsia="仿宋_GB2312"/>
      <w:sz w:val="18"/>
      <w:szCs w:val="18"/>
    </w:rPr>
  </w:style>
  <w:style w:type="paragraph" w:styleId="12">
    <w:name w:val="Subtitle"/>
    <w:basedOn w:val="1"/>
    <w:next w:val="1"/>
    <w:link w:val="23"/>
    <w:qFormat/>
    <w:uiPriority w:val="11"/>
    <w:pPr>
      <w:snapToGrid w:val="0"/>
      <w:spacing w:before="240" w:after="60" w:line="312" w:lineRule="auto"/>
      <w:jc w:val="center"/>
    </w:pPr>
    <w:rPr>
      <w:rFonts w:ascii="Cambria" w:hAnsi="Cambria" w:eastAsia="黑体"/>
      <w:kern w:val="28"/>
      <w:sz w:val="24"/>
      <w:szCs w:val="32"/>
    </w:rPr>
  </w:style>
  <w:style w:type="character" w:customStyle="1" w:styleId="15">
    <w:name w:val="正文文本 Char"/>
    <w:basedOn w:val="14"/>
    <w:link w:val="6"/>
    <w:qFormat/>
    <w:uiPriority w:val="1"/>
    <w:rPr>
      <w:rFonts w:ascii="仿宋" w:hAnsi="仿宋" w:eastAsia="仿宋" w:cs="仿宋"/>
      <w:sz w:val="32"/>
      <w:szCs w:val="32"/>
      <w:lang w:val="zh-CN" w:bidi="zh-CN"/>
    </w:rPr>
  </w:style>
  <w:style w:type="paragraph" w:customStyle="1" w:styleId="16">
    <w:name w:val="BodyText"/>
    <w:basedOn w:val="1"/>
    <w:next w:val="17"/>
    <w:link w:val="27"/>
    <w:qFormat/>
    <w:uiPriority w:val="0"/>
    <w:pPr>
      <w:spacing w:after="120"/>
      <w:jc w:val="left"/>
    </w:pPr>
    <w:rPr>
      <w:rFonts w:ascii="Times New Roman"/>
      <w:szCs w:val="24"/>
    </w:rPr>
  </w:style>
  <w:style w:type="paragraph" w:customStyle="1" w:styleId="17">
    <w:name w:val="TOC1"/>
    <w:basedOn w:val="1"/>
    <w:next w:val="1"/>
    <w:qFormat/>
    <w:uiPriority w:val="0"/>
    <w:pPr>
      <w:spacing w:before="109"/>
      <w:ind w:right="275"/>
      <w:jc w:val="right"/>
    </w:pPr>
    <w:rPr>
      <w:rFonts w:ascii="仿宋" w:hAnsi="仿宋" w:eastAsia="仿宋"/>
      <w:szCs w:val="21"/>
      <w:lang w:val="zh-CN" w:bidi="zh-CN"/>
    </w:rPr>
  </w:style>
  <w:style w:type="paragraph" w:customStyle="1" w:styleId="18">
    <w:name w:val="Heading2"/>
    <w:basedOn w:val="1"/>
    <w:next w:val="1"/>
    <w:qFormat/>
    <w:uiPriority w:val="0"/>
    <w:pPr>
      <w:keepNext/>
      <w:keepLines/>
      <w:spacing w:before="260" w:after="260" w:line="413" w:lineRule="auto"/>
    </w:pPr>
    <w:rPr>
      <w:rFonts w:ascii="Arial" w:hAnsi="Arial" w:eastAsia="黑体"/>
      <w:sz w:val="32"/>
    </w:rPr>
  </w:style>
  <w:style w:type="character" w:customStyle="1" w:styleId="19">
    <w:name w:val="NormalCharacter"/>
    <w:qFormat/>
    <w:uiPriority w:val="0"/>
  </w:style>
  <w:style w:type="table" w:customStyle="1" w:styleId="20">
    <w:name w:val="TableNormal"/>
    <w:qFormat/>
    <w:uiPriority w:val="0"/>
    <w:tblPr>
      <w:tblCellMar>
        <w:top w:w="0" w:type="dxa"/>
        <w:left w:w="0" w:type="dxa"/>
        <w:bottom w:w="0" w:type="dxa"/>
        <w:right w:w="0" w:type="dxa"/>
      </w:tblCellMar>
    </w:tblPr>
  </w:style>
  <w:style w:type="character" w:customStyle="1" w:styleId="21">
    <w:name w:val="页脚 Char"/>
    <w:link w:val="10"/>
    <w:qFormat/>
    <w:uiPriority w:val="99"/>
    <w:rPr>
      <w:kern w:val="2"/>
      <w:sz w:val="18"/>
      <w:szCs w:val="18"/>
    </w:rPr>
  </w:style>
  <w:style w:type="character" w:customStyle="1" w:styleId="22">
    <w:name w:val="页眉 Char"/>
    <w:link w:val="11"/>
    <w:qFormat/>
    <w:uiPriority w:val="0"/>
    <w:rPr>
      <w:kern w:val="2"/>
      <w:sz w:val="18"/>
      <w:szCs w:val="18"/>
    </w:rPr>
  </w:style>
  <w:style w:type="character" w:customStyle="1" w:styleId="23">
    <w:name w:val="副标题 Char"/>
    <w:link w:val="12"/>
    <w:qFormat/>
    <w:uiPriority w:val="0"/>
    <w:rPr>
      <w:rFonts w:ascii="Cambria" w:hAnsi="Cambria" w:eastAsia="黑体" w:cs="Times New Roman"/>
      <w:b/>
      <w:bCs/>
      <w:kern w:val="28"/>
      <w:sz w:val="24"/>
      <w:szCs w:val="32"/>
    </w:rPr>
  </w:style>
  <w:style w:type="character" w:customStyle="1" w:styleId="24">
    <w:name w:val="UserStyle_3"/>
    <w:link w:val="25"/>
    <w:qFormat/>
    <w:uiPriority w:val="0"/>
    <w:rPr>
      <w:rFonts w:ascii="宋体" w:hAnsi="Courier New"/>
      <w:kern w:val="2"/>
      <w:sz w:val="21"/>
      <w:szCs w:val="21"/>
    </w:rPr>
  </w:style>
  <w:style w:type="paragraph" w:customStyle="1" w:styleId="25">
    <w:name w:val="PlainText"/>
    <w:basedOn w:val="1"/>
    <w:link w:val="24"/>
    <w:qFormat/>
    <w:uiPriority w:val="0"/>
    <w:rPr>
      <w:rFonts w:ascii="宋体" w:hAnsi="Courier New" w:eastAsia="仿宋_GB2312"/>
      <w:szCs w:val="21"/>
    </w:rPr>
  </w:style>
  <w:style w:type="character" w:customStyle="1" w:styleId="26">
    <w:name w:val="UserStyle_4"/>
    <w:qFormat/>
    <w:uiPriority w:val="0"/>
    <w:rPr>
      <w:rFonts w:ascii="宋体" w:hAnsi="Courier New" w:eastAsia="宋体"/>
      <w:kern w:val="2"/>
      <w:sz w:val="21"/>
      <w:szCs w:val="21"/>
    </w:rPr>
  </w:style>
  <w:style w:type="character" w:customStyle="1" w:styleId="27">
    <w:name w:val="UserStyle_5"/>
    <w:link w:val="16"/>
    <w:qFormat/>
    <w:uiPriority w:val="0"/>
    <w:rPr>
      <w:rFonts w:ascii="Times New Roman" w:hAnsi="Times New Roman" w:eastAsia="宋体"/>
      <w:kern w:val="2"/>
      <w:sz w:val="21"/>
      <w:szCs w:val="24"/>
    </w:rPr>
  </w:style>
  <w:style w:type="paragraph" w:customStyle="1" w:styleId="28">
    <w:name w:val="TableOfAuthoring"/>
    <w:basedOn w:val="1"/>
    <w:next w:val="1"/>
    <w:qFormat/>
    <w:uiPriority w:val="0"/>
    <w:pPr>
      <w:ind w:left="420" w:leftChars="200"/>
    </w:pPr>
    <w:rPr>
      <w:rFonts w:ascii="Times New Roman"/>
    </w:rPr>
  </w:style>
  <w:style w:type="paragraph" w:customStyle="1" w:styleId="29">
    <w:name w:val="179"/>
    <w:basedOn w:val="1"/>
    <w:qFormat/>
    <w:uiPriority w:val="0"/>
    <w:pPr>
      <w:ind w:left="1368" w:firstLine="638"/>
    </w:pPr>
    <w:rPr>
      <w:rFonts w:ascii="仿宋" w:hAnsi="仿宋" w:eastAsia="仿宋"/>
      <w:lang w:val="zh-CN" w:bidi="zh-CN"/>
    </w:rPr>
  </w:style>
  <w:style w:type="paragraph" w:customStyle="1" w:styleId="30">
    <w:name w:val="Default"/>
    <w:qFormat/>
    <w:uiPriority w:val="0"/>
    <w:pPr>
      <w:widowControl w:val="0"/>
      <w:autoSpaceDE w:val="0"/>
      <w:autoSpaceDN w:val="0"/>
      <w:adjustRightInd w:val="0"/>
    </w:pPr>
    <w:rPr>
      <w:rFonts w:ascii="Univers 45 Light" w:hAnsi="Times New Roman" w:eastAsia="Univers 45 Light" w:cs="Univers 45 Light"/>
      <w:color w:val="000000"/>
      <w:sz w:val="24"/>
      <w:szCs w:val="24"/>
      <w:lang w:val="en-US" w:eastAsia="zh-CN" w:bidi="ar-SA"/>
    </w:rPr>
  </w:style>
  <w:style w:type="paragraph" w:styleId="31">
    <w:name w:val="List Paragraph"/>
    <w:basedOn w:val="1"/>
    <w:qFormat/>
    <w:uiPriority w:val="99"/>
    <w:pPr>
      <w:ind w:firstLine="420" w:firstLineChars="200"/>
    </w:pPr>
  </w:style>
  <w:style w:type="character" w:customStyle="1" w:styleId="32">
    <w:name w:val="标题 3 Char"/>
    <w:basedOn w:val="14"/>
    <w:semiHidden/>
    <w:qFormat/>
    <w:uiPriority w:val="9"/>
    <w:rPr>
      <w:rFonts w:ascii="Calibri"/>
      <w:b/>
      <w:bCs/>
      <w:kern w:val="2"/>
      <w:sz w:val="32"/>
      <w:szCs w:val="32"/>
    </w:rPr>
  </w:style>
  <w:style w:type="character" w:customStyle="1" w:styleId="33">
    <w:name w:val="纯文本 Char"/>
    <w:basedOn w:val="14"/>
    <w:link w:val="9"/>
    <w:qFormat/>
    <w:uiPriority w:val="0"/>
    <w:rPr>
      <w:rFonts w:ascii="仿宋" w:hAnsi="宋体" w:eastAsia="仿宋" w:cs="仿宋"/>
      <w:sz w:val="24"/>
      <w:szCs w:val="21"/>
      <w:lang w:val="zh-CN" w:bidi="zh-CN"/>
    </w:rPr>
  </w:style>
  <w:style w:type="character" w:customStyle="1" w:styleId="34">
    <w:name w:val="标题 3 Char1"/>
    <w:link w:val="3"/>
    <w:qFormat/>
    <w:uiPriority w:val="0"/>
    <w:rPr>
      <w:rFonts w:ascii="仿宋" w:hAnsi="仿宋" w:eastAsia="仿宋" w:cs="仿宋"/>
      <w:b/>
      <w:bCs/>
      <w:sz w:val="32"/>
      <w:szCs w:val="32"/>
      <w:lang w:val="zh-CN" w:eastAsia="zh-CN" w:bidi="zh-CN"/>
    </w:rPr>
  </w:style>
  <w:style w:type="character" w:customStyle="1" w:styleId="35">
    <w:name w:val="标题 2 Char"/>
    <w:basedOn w:val="14"/>
    <w:link w:val="2"/>
    <w:qFormat/>
    <w:uiPriority w:val="9"/>
    <w:rPr>
      <w:rFonts w:asciiTheme="majorHAnsi" w:hAnsiTheme="majorHAnsi" w:eastAsiaTheme="majorEastAsia" w:cstheme="majorBidi"/>
      <w:b/>
      <w:bCs/>
      <w:kern w:val="2"/>
      <w:sz w:val="32"/>
      <w:szCs w:val="32"/>
    </w:rPr>
  </w:style>
  <w:style w:type="paragraph" w:customStyle="1" w:styleId="36">
    <w:name w:val="正文（绿盟科技）"/>
    <w:qFormat/>
    <w:uiPriority w:val="0"/>
    <w:pPr>
      <w:spacing w:line="300" w:lineRule="auto"/>
    </w:pPr>
    <w:rPr>
      <w:rFonts w:ascii="Arial" w:hAnsi="Arial" w:eastAsia="宋体" w:cs="Times New Roman"/>
      <w:sz w:val="21"/>
      <w:szCs w:val="21"/>
      <w:lang w:val="en-US" w:eastAsia="zh-CN" w:bidi="ar-SA"/>
    </w:rPr>
  </w:style>
  <w:style w:type="character" w:customStyle="1" w:styleId="37">
    <w:name w:val="font51"/>
    <w:basedOn w:val="14"/>
    <w:qFormat/>
    <w:uiPriority w:val="0"/>
    <w:rPr>
      <w:rFonts w:ascii="仿宋" w:hAnsi="仿宋" w:eastAsia="仿宋" w:cs="仿宋"/>
      <w:b/>
      <w:bCs/>
      <w:color w:val="000000"/>
      <w:sz w:val="20"/>
      <w:szCs w:val="20"/>
      <w:u w:val="none"/>
    </w:rPr>
  </w:style>
  <w:style w:type="character" w:customStyle="1" w:styleId="38">
    <w:name w:val="font131"/>
    <w:basedOn w:val="14"/>
    <w:qFormat/>
    <w:uiPriority w:val="0"/>
    <w:rPr>
      <w:rFonts w:hint="eastAsia" w:ascii="仿宋" w:hAnsi="仿宋" w:eastAsia="仿宋" w:cs="仿宋"/>
      <w:b/>
      <w:bCs/>
      <w:color w:val="000000"/>
      <w:sz w:val="20"/>
      <w:szCs w:val="20"/>
      <w:u w:val="none"/>
    </w:rPr>
  </w:style>
  <w:style w:type="character" w:customStyle="1" w:styleId="39">
    <w:name w:val="font141"/>
    <w:basedOn w:val="14"/>
    <w:qFormat/>
    <w:uiPriority w:val="0"/>
    <w:rPr>
      <w:rFonts w:hint="eastAsia" w:ascii="仿宋" w:hAnsi="仿宋" w:eastAsia="仿宋" w:cs="仿宋"/>
      <w:color w:val="000000"/>
      <w:sz w:val="20"/>
      <w:szCs w:val="20"/>
      <w:u w:val="none"/>
    </w:rPr>
  </w:style>
  <w:style w:type="character" w:customStyle="1" w:styleId="40">
    <w:name w:val="font21"/>
    <w:basedOn w:val="14"/>
    <w:qFormat/>
    <w:uiPriority w:val="0"/>
    <w:rPr>
      <w:rFonts w:hint="default" w:ascii="Times New Roman" w:hAnsi="Times New Roman" w:cs="Times New Roman"/>
      <w:color w:val="000000"/>
      <w:sz w:val="20"/>
      <w:szCs w:val="20"/>
      <w:u w:val="none"/>
    </w:rPr>
  </w:style>
  <w:style w:type="paragraph" w:customStyle="1" w:styleId="41">
    <w:name w:val="样式8"/>
    <w:basedOn w:val="1"/>
    <w:qFormat/>
    <w:uiPriority w:val="0"/>
    <w:pPr>
      <w:spacing w:line="360" w:lineRule="auto"/>
      <w:ind w:firstLine="720" w:firstLineChars="200"/>
      <w:jc w:val="both"/>
    </w:pPr>
    <w:rPr>
      <w:rFonts w:ascii="Times New Roman" w:hAnsi="Times New Roman" w:eastAsia="仿宋"/>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6093</Words>
  <Characters>8215</Characters>
  <Lines>36</Lines>
  <Paragraphs>10</Paragraphs>
  <TotalTime>0</TotalTime>
  <ScaleCrop>false</ScaleCrop>
  <LinksUpToDate>false</LinksUpToDate>
  <CharactersWithSpaces>8614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2025-05-15T04:53:00Z</dcterms:created>
  <dc:creator>张晏齐</dc:creator>
  <cp:lastModifiedBy>胜天半子</cp:lastModifiedBy>
  <dcterms:modified xsi:type="dcterms:W3CDTF">2026-08-12T07:53:20Z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496685ED5F3549E39EAB46CB372AD16C_13</vt:lpwstr>
  </property>
  <property fmtid="{D5CDD505-2E9C-101B-9397-08002B2CF9AE}" pid="4" name="KSOTemplateDocerSaveRecord">
    <vt:lpwstr>eyJoZGlkIjoiYTQzYWFmYTdmNWRiOTk3NzVlOTMyOGIyODI2OTNkMzkiLCJ1c2VySWQiOiIzODgzNTI5NTkifQ==</vt:lpwstr>
  </property>
</Properties>
</file>